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年省市重点民生实事项目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  <w:lang w:eastAsia="zh-CN"/>
        </w:rPr>
        <w:t>困难残疾人家庭无障碍改造</w:t>
      </w: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宁乡市完成情况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公    示</w:t>
      </w:r>
    </w:p>
    <w:p>
      <w:pPr>
        <w:spacing w:line="6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照《长沙市残疾人联合会关于印发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2021年省政府重点民生实事工程项目“困难残疾人家庭无障碍改造”长沙市实施方案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的通知》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长残维发〔2021〕6号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文件要求，现将我单位所承办的202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年省市重点民生实事项目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困难残疾人家庭无障碍改造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宁乡市完成情况予以公示。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公示时间为202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line="600" w:lineRule="exact"/>
        <w:ind w:firstLine="5120" w:firstLineChars="16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5120" w:firstLineChars="16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残疾人联合会</w:t>
      </w:r>
    </w:p>
    <w:p>
      <w:pPr>
        <w:widowControl/>
        <w:shd w:val="clear" w:color="auto" w:fill="FFFFFF"/>
        <w:spacing w:line="600" w:lineRule="exact"/>
        <w:ind w:firstLine="5120" w:firstLineChars="160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napToGrid w:val="0"/>
        <w:jc w:val="right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jc w:val="right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重点民生实事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宁乡市完成情况表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2552"/>
        <w:gridCol w:w="2549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atLeast"/>
        </w:trPr>
        <w:tc>
          <w:tcPr>
            <w:tcW w:w="746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核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目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指标名称</w:t>
            </w: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全年任务目标</w:t>
            </w: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7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困难残疾人家庭无障碍改造</w:t>
            </w: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960" w:firstLineChars="40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160户</w:t>
            </w: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7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7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单位负责人：</w:t>
      </w:r>
      <w:r>
        <w:rPr>
          <w:rFonts w:hint="eastAsia" w:ascii="宋体" w:hAnsi="宋体"/>
          <w:sz w:val="24"/>
          <w:lang w:eastAsia="zh-CN"/>
        </w:rPr>
        <w:t>李庆</w:t>
      </w:r>
      <w:r>
        <w:rPr>
          <w:rFonts w:hint="eastAsia" w:ascii="宋体" w:hAnsi="宋体"/>
          <w:sz w:val="24"/>
        </w:rPr>
        <w:t xml:space="preserve">         填报人： </w:t>
      </w:r>
      <w:r>
        <w:rPr>
          <w:rFonts w:hint="eastAsia" w:ascii="宋体" w:hAnsi="宋体"/>
          <w:sz w:val="24"/>
          <w:lang w:eastAsia="zh-CN"/>
        </w:rPr>
        <w:t>谢冠军</w:t>
      </w:r>
      <w:r>
        <w:rPr>
          <w:rFonts w:hint="eastAsia" w:ascii="宋体" w:hAnsi="宋体"/>
          <w:sz w:val="24"/>
        </w:rPr>
        <w:t xml:space="preserve">          电话号码：</w:t>
      </w:r>
      <w:r>
        <w:rPr>
          <w:rFonts w:hint="eastAsia" w:ascii="宋体" w:hAnsi="宋体"/>
          <w:sz w:val="24"/>
          <w:lang w:val="en-US" w:eastAsia="zh-CN"/>
        </w:rPr>
        <w:t>13469457959</w:t>
      </w:r>
      <w:r>
        <w:rPr>
          <w:rFonts w:hint="eastAsia" w:ascii="宋体" w:hAnsi="宋体"/>
          <w:sz w:val="24"/>
        </w:rPr>
        <w:t xml:space="preserve">   </w:t>
      </w:r>
    </w:p>
    <w:p>
      <w:pPr>
        <w:widowControl/>
        <w:snapToGrid w:val="0"/>
        <w:spacing w:beforeLines="50"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ascii="仿宋_GB2312" w:hAnsi="宋体" w:eastAsia="仿宋_GB2312"/>
          <w:bCs/>
          <w:kern w:val="0"/>
          <w:sz w:val="32"/>
          <w:szCs w:val="32"/>
        </w:rPr>
        <w:t>重点民生实事经费支出情况统计表</w:t>
      </w:r>
    </w:p>
    <w:p>
      <w:pPr>
        <w:widowControl/>
        <w:adjustRightInd w:val="0"/>
        <w:snapToGrid w:val="0"/>
        <w:spacing w:line="400" w:lineRule="exact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ascii="仿宋_GB2312" w:hAnsi="宋体" w:eastAsia="仿宋_GB2312"/>
          <w:bCs/>
          <w:kern w:val="0"/>
          <w:sz w:val="28"/>
          <w:szCs w:val="28"/>
        </w:rPr>
        <w:t>填报单位：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宁乡市</w:t>
      </w:r>
      <w:r>
        <w:rPr>
          <w:rFonts w:hint="eastAsia" w:ascii="仿宋_GB2312" w:hAnsi="宋体" w:eastAsia="仿宋_GB2312"/>
          <w:bCs/>
          <w:kern w:val="0"/>
          <w:sz w:val="28"/>
          <w:szCs w:val="28"/>
          <w:lang w:eastAsia="zh-CN"/>
        </w:rPr>
        <w:t>残疾人联合会</w:t>
      </w:r>
    </w:p>
    <w:tbl>
      <w:tblPr>
        <w:tblStyle w:val="2"/>
        <w:tblW w:w="50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29"/>
        <w:gridCol w:w="1182"/>
        <w:gridCol w:w="1186"/>
        <w:gridCol w:w="1681"/>
        <w:gridCol w:w="121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国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>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省   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市    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县市区、乡镇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其他投入</w:t>
            </w: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困难残疾人家庭无障碍改造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58万元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58万元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116万元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申报人：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谢冠军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        联系电话：</w:t>
      </w:r>
      <w:r>
        <w:rPr>
          <w:rFonts w:hint="eastAsia" w:ascii="宋体" w:hAnsi="宋体"/>
          <w:sz w:val="24"/>
          <w:lang w:val="en-US" w:eastAsia="zh-CN"/>
        </w:rPr>
        <w:t>13469457959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  申报时间：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.12.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</w:p>
    <w:sectPr>
      <w:pgSz w:w="11906" w:h="16838"/>
      <w:pgMar w:top="1985" w:right="1418" w:bottom="1418" w:left="1418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B2235"/>
    <w:rsid w:val="17CF64F9"/>
    <w:rsid w:val="20826C5E"/>
    <w:rsid w:val="26A777D1"/>
    <w:rsid w:val="29822095"/>
    <w:rsid w:val="43BB2235"/>
    <w:rsid w:val="44534001"/>
    <w:rsid w:val="477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2020-12-11T05:39:00Z</dcterms:created>
  <dc:creator>徐小燕</dc:creator>
  <cp:lastModifiedBy>Administrator</cp:lastModifiedBy>
  <cp:lastPrinted>2021-12-03T05:31:00Z</cp:lastPrinted>
  <dcterms:modified xsi:type="dcterms:W3CDTF">2021-12-03T07:20:11Z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B68712A215F94A98914861CEF348148A</vt:lpwstr>
  </property>
</Properties>
</file>