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ind w:firstLine="723" w:firstLineChars="200"/>
        <w:jc w:val="center"/>
        <w:textAlignment w:val="baseline"/>
        <w:outlineLvl w:val="1"/>
        <w:rPr>
          <w:rFonts w:asciiTheme="minorEastAsia" w:hAnsiTheme="minorEastAsia" w:cstheme="minorEastAsia"/>
          <w:b/>
          <w:bCs/>
          <w:kern w:val="0"/>
          <w:sz w:val="36"/>
          <w:szCs w:val="36"/>
        </w:rPr>
      </w:pPr>
      <w:r>
        <w:rPr>
          <w:rFonts w:hint="eastAsia" w:asciiTheme="minorEastAsia" w:hAnsiTheme="minorEastAsia" w:cstheme="minorEastAsia"/>
          <w:b/>
          <w:bCs/>
          <w:kern w:val="0"/>
          <w:sz w:val="36"/>
          <w:szCs w:val="36"/>
        </w:rPr>
        <w:t>道林镇人民政府部门整体支出绩效自评报告</w:t>
      </w:r>
    </w:p>
    <w:p>
      <w:pPr>
        <w:widowControl/>
        <w:spacing w:line="500" w:lineRule="exact"/>
        <w:ind w:firstLine="560" w:firstLineChars="200"/>
        <w:jc w:val="left"/>
        <w:textAlignment w:val="baseline"/>
        <w:outlineLvl w:val="1"/>
        <w:rPr>
          <w:rFonts w:asciiTheme="minorEastAsia" w:hAnsiTheme="minorEastAsia" w:cstheme="minorEastAsia"/>
          <w:kern w:val="0"/>
          <w:sz w:val="28"/>
          <w:szCs w:val="28"/>
        </w:rPr>
      </w:pPr>
    </w:p>
    <w:p>
      <w:pPr>
        <w:widowControl/>
        <w:spacing w:line="500" w:lineRule="exact"/>
        <w:ind w:firstLine="560" w:firstLineChars="200"/>
        <w:jc w:val="left"/>
        <w:textAlignment w:val="baseline"/>
        <w:outlineLvl w:val="1"/>
        <w:rPr>
          <w:rFonts w:asciiTheme="minorEastAsia" w:hAnsiTheme="minorEastAsia" w:cstheme="minorEastAsia"/>
          <w:kern w:val="0"/>
          <w:sz w:val="28"/>
          <w:szCs w:val="28"/>
        </w:rPr>
      </w:pPr>
      <w:r>
        <w:rPr>
          <w:rFonts w:hint="eastAsia" w:asciiTheme="minorEastAsia" w:hAnsiTheme="minorEastAsia" w:cstheme="minorEastAsia"/>
          <w:kern w:val="0"/>
          <w:sz w:val="28"/>
          <w:szCs w:val="28"/>
        </w:rPr>
        <w:t>为切实做好2022年度部门整体支出绩效自评工作，提高财政资金使用效益，根据宁乡市财政局关于开展2022年度部门预算单位绩效自评工作的要求，我单位领导高度重视，认真组织，结合实际进行分析、总结，对2022年部门整体支出进行了绩效自评，现将我单位部门整体支出绩效自评情况报告如下：</w:t>
      </w:r>
    </w:p>
    <w:p>
      <w:pPr>
        <w:widowControl/>
        <w:numPr>
          <w:ilvl w:val="0"/>
          <w:numId w:val="1"/>
        </w:numPr>
        <w:spacing w:line="500" w:lineRule="exact"/>
        <w:ind w:firstLine="562" w:firstLineChars="200"/>
        <w:jc w:val="left"/>
        <w:textAlignment w:val="baseline"/>
        <w:outlineLvl w:val="1"/>
        <w:rPr>
          <w:rFonts w:asciiTheme="minorEastAsia" w:hAnsiTheme="minorEastAsia" w:cstheme="minorEastAsia"/>
          <w:b/>
          <w:bCs/>
          <w:kern w:val="0"/>
          <w:sz w:val="28"/>
          <w:szCs w:val="28"/>
        </w:rPr>
      </w:pPr>
      <w:r>
        <w:rPr>
          <w:rFonts w:hint="eastAsia" w:asciiTheme="minorEastAsia" w:hAnsiTheme="minorEastAsia" w:cstheme="minorEastAsia"/>
          <w:b/>
          <w:bCs/>
          <w:kern w:val="0"/>
          <w:sz w:val="28"/>
          <w:szCs w:val="28"/>
        </w:rPr>
        <w:t>部门概况</w:t>
      </w:r>
    </w:p>
    <w:p>
      <w:pPr>
        <w:widowControl/>
        <w:spacing w:line="500" w:lineRule="exact"/>
        <w:ind w:firstLine="562" w:firstLineChars="200"/>
        <w:jc w:val="left"/>
        <w:textAlignment w:val="baseline"/>
        <w:outlineLvl w:val="1"/>
        <w:rPr>
          <w:rFonts w:ascii="仿宋" w:hAnsi="仿宋" w:eastAsia="仿宋" w:cs="仿宋"/>
          <w:b/>
          <w:bCs/>
          <w:kern w:val="0"/>
          <w:sz w:val="28"/>
          <w:szCs w:val="28"/>
        </w:rPr>
      </w:pPr>
      <w:r>
        <w:rPr>
          <w:rFonts w:hint="eastAsia" w:ascii="仿宋" w:hAnsi="仿宋" w:eastAsia="仿宋" w:cs="仿宋"/>
          <w:b/>
          <w:bCs/>
          <w:kern w:val="0"/>
          <w:sz w:val="28"/>
          <w:szCs w:val="28"/>
        </w:rPr>
        <w:t>（一）人员情况、机构设置及主要职能</w:t>
      </w:r>
    </w:p>
    <w:p>
      <w:pPr>
        <w:widowControl/>
        <w:spacing w:line="500" w:lineRule="exact"/>
        <w:ind w:firstLine="560" w:firstLineChars="200"/>
        <w:jc w:val="left"/>
        <w:textAlignment w:val="baseline"/>
        <w:outlineLvl w:val="1"/>
        <w:rPr>
          <w:rFonts w:asciiTheme="minorEastAsia" w:hAnsiTheme="minorEastAsia" w:cstheme="minorEastAsia"/>
          <w:kern w:val="0"/>
          <w:sz w:val="28"/>
          <w:szCs w:val="28"/>
        </w:rPr>
      </w:pPr>
      <w:r>
        <w:rPr>
          <w:rFonts w:hint="eastAsia" w:asciiTheme="minorEastAsia" w:hAnsiTheme="minorEastAsia" w:cstheme="minorEastAsia"/>
          <w:kern w:val="0"/>
          <w:sz w:val="28"/>
          <w:szCs w:val="28"/>
        </w:rPr>
        <w:t>2022年我镇人民政府经机构管理部门核定编制人数为141人，其中：行政编制49人，事业编制90人，工勤人员2人。2022年末实有在职人员共</w:t>
      </w:r>
      <w:r>
        <w:rPr>
          <w:rFonts w:hint="eastAsia" w:asciiTheme="minorEastAsia" w:hAnsiTheme="minorEastAsia" w:cstheme="minorEastAsia"/>
          <w:kern w:val="0"/>
          <w:sz w:val="28"/>
          <w:szCs w:val="28"/>
          <w:lang w:val="en-US" w:eastAsia="zh-CN"/>
        </w:rPr>
        <w:t>118</w:t>
      </w:r>
      <w:r>
        <w:rPr>
          <w:rFonts w:hint="eastAsia" w:asciiTheme="minorEastAsia" w:hAnsiTheme="minorEastAsia" w:cstheme="minorEastAsia"/>
          <w:kern w:val="0"/>
          <w:sz w:val="28"/>
          <w:szCs w:val="28"/>
        </w:rPr>
        <w:t>人，其中：公务员</w:t>
      </w:r>
      <w:r>
        <w:rPr>
          <w:rFonts w:hint="eastAsia" w:asciiTheme="minorEastAsia" w:hAnsiTheme="minorEastAsia" w:cstheme="minorEastAsia"/>
          <w:kern w:val="0"/>
          <w:sz w:val="28"/>
          <w:szCs w:val="28"/>
          <w:lang w:val="en-US" w:eastAsia="zh-CN"/>
        </w:rPr>
        <w:t>41</w:t>
      </w:r>
      <w:r>
        <w:rPr>
          <w:rFonts w:hint="eastAsia" w:asciiTheme="minorEastAsia" w:hAnsiTheme="minorEastAsia" w:cstheme="minorEastAsia"/>
          <w:kern w:val="0"/>
          <w:sz w:val="28"/>
          <w:szCs w:val="28"/>
        </w:rPr>
        <w:t>人，全额事业人员</w:t>
      </w:r>
      <w:r>
        <w:rPr>
          <w:rFonts w:hint="eastAsia" w:asciiTheme="minorEastAsia" w:hAnsiTheme="minorEastAsia" w:cstheme="minorEastAsia"/>
          <w:kern w:val="0"/>
          <w:sz w:val="28"/>
          <w:szCs w:val="28"/>
          <w:lang w:val="en-US" w:eastAsia="zh-CN"/>
        </w:rPr>
        <w:t>37</w:t>
      </w:r>
      <w:r>
        <w:rPr>
          <w:rFonts w:hint="eastAsia" w:asciiTheme="minorEastAsia" w:hAnsiTheme="minorEastAsia" w:cstheme="minorEastAsia"/>
          <w:kern w:val="0"/>
          <w:sz w:val="28"/>
          <w:szCs w:val="28"/>
        </w:rPr>
        <w:t>人，差额事业人员</w:t>
      </w:r>
      <w:r>
        <w:rPr>
          <w:rFonts w:asciiTheme="minorEastAsia" w:hAnsiTheme="minorEastAsia" w:cstheme="minorEastAsia"/>
          <w:kern w:val="0"/>
          <w:sz w:val="28"/>
          <w:szCs w:val="28"/>
        </w:rPr>
        <w:t>40</w:t>
      </w:r>
      <w:r>
        <w:rPr>
          <w:rFonts w:hint="eastAsia" w:asciiTheme="minorEastAsia" w:hAnsiTheme="minorEastAsia" w:cstheme="minorEastAsia"/>
          <w:kern w:val="0"/>
          <w:sz w:val="28"/>
          <w:szCs w:val="28"/>
        </w:rPr>
        <w:t>人。</w:t>
      </w:r>
    </w:p>
    <w:p>
      <w:pPr>
        <w:numPr>
          <w:ilvl w:val="0"/>
          <w:numId w:val="2"/>
        </w:numPr>
        <w:snapToGrid w:val="0"/>
        <w:spacing w:line="500" w:lineRule="exact"/>
        <w:ind w:firstLine="560" w:firstLineChars="200"/>
        <w:rPr>
          <w:rFonts w:asciiTheme="minorEastAsia" w:hAnsiTheme="minorEastAsia" w:cstheme="minorEastAsia"/>
          <w:sz w:val="28"/>
          <w:szCs w:val="28"/>
        </w:rPr>
      </w:pPr>
      <w:r>
        <w:rPr>
          <w:rFonts w:hint="eastAsia" w:asciiTheme="minorEastAsia" w:hAnsiTheme="minorEastAsia" w:cstheme="minorEastAsia"/>
          <w:kern w:val="0"/>
          <w:sz w:val="28"/>
          <w:szCs w:val="28"/>
        </w:rPr>
        <w:t>镇党政机构：（1）</w:t>
      </w:r>
      <w:r>
        <w:rPr>
          <w:rFonts w:hint="eastAsia" w:asciiTheme="minorEastAsia" w:hAnsiTheme="minorEastAsia" w:cstheme="minorEastAsia"/>
          <w:sz w:val="28"/>
          <w:szCs w:val="28"/>
        </w:rPr>
        <w:t>党政综合办公室：主要负责乡镇机关党务和行政事务工作；负责机关文电、机要、保密、信息、会务、档案、督办、政务公开、后勤保障等工作；负责重要事项的综合协调和重要文稿的起草审核；承担社会经济统计等工作。（2）党建工作办公室：主要负责基层党的建设、宣传、意识形态、统一战线工作；组织协调辖区内群团组织开展工作；负责组织、机构编制、人事、老干、关协、文明创建、机关干部队伍建设等工作；承担新时代文明实践所及其办公室的日常工作。（3）经济发展办公室：主要负责辖区内经济发展规划的制定和落实；负责招商引资、项目工程（包括征地拆迁）、文旅融合发展、工业和信息化、商务、交通、电力等工作；</w:t>
      </w:r>
      <w:r>
        <w:rPr>
          <w:rFonts w:hint="eastAsia" w:asciiTheme="minorEastAsia" w:hAnsiTheme="minorEastAsia" w:cstheme="minorEastAsia"/>
          <w:spacing w:val="-6"/>
          <w:sz w:val="28"/>
          <w:szCs w:val="28"/>
        </w:rPr>
        <w:t>统筹协调经济发展相关的其他工作。（4）</w:t>
      </w:r>
      <w:r>
        <w:rPr>
          <w:rFonts w:hint="eastAsia" w:asciiTheme="minorEastAsia" w:hAnsiTheme="minorEastAsia" w:cstheme="minorEastAsia"/>
          <w:sz w:val="28"/>
          <w:szCs w:val="28"/>
        </w:rPr>
        <w:t>社会事务办公室：主要负责辖区内人力资源社会保障、民政、退役军人事务、社会救助、残疾人事务、教育、科技、文化、体育、卫生健康等工作。（5）自然资源和生态环境办公室：主要负责辖区内国土规划、城镇建设、环境卫生、生态环境保护、城乡人居环境整治等工作。（6）社会治安和应急管理办公室：主要负责辖区内的社会治安综合治理、信访、应急管理、安全生产、市场监管等工作，维护辖区社会稳定；承担食品安全委员会及其办公室的日常工作；指导辖区内网格化综合管理工作。（7）财政所：承担本级一般预算资金的收支、部门综合预算、非税收入、国有资产和财政专项资金的管理；负责乡镇和村（社区）组织财务核算、管理；负责财政票据、涉农补贴资金发放的管理和财政监管、税收协管等工作；负责村（社区）公共资源交易的监督。</w:t>
      </w:r>
    </w:p>
    <w:p>
      <w:pPr>
        <w:spacing w:line="5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shd w:val="clear" w:color="auto" w:fill="FFFFFF"/>
        </w:rPr>
        <w:t>2、</w:t>
      </w:r>
      <w:r>
        <w:rPr>
          <w:rFonts w:hint="eastAsia" w:asciiTheme="minorEastAsia" w:hAnsiTheme="minorEastAsia" w:cstheme="minorEastAsia"/>
          <w:sz w:val="28"/>
          <w:szCs w:val="28"/>
        </w:rPr>
        <w:t>直属</w:t>
      </w:r>
      <w:r>
        <w:rPr>
          <w:rFonts w:hint="eastAsia" w:asciiTheme="minorEastAsia" w:hAnsiTheme="minorEastAsia" w:cstheme="minorEastAsia"/>
          <w:sz w:val="28"/>
          <w:szCs w:val="28"/>
          <w:shd w:val="clear" w:color="auto" w:fill="FFFFFF"/>
        </w:rPr>
        <w:t>事业机构：（1）</w:t>
      </w:r>
      <w:r>
        <w:rPr>
          <w:rFonts w:hint="eastAsia" w:asciiTheme="minorEastAsia" w:hAnsiTheme="minorEastAsia" w:cstheme="minorEastAsia"/>
          <w:sz w:val="28"/>
          <w:szCs w:val="28"/>
        </w:rPr>
        <w:t>社会事业综合服务中心（挂网格化综合服务中心牌子）：主要负责劳动保障就业、最低生活保障、劳动争议调解、社会保险、农村养老保险和医疗保险等服务性工作；承担文化宣传、广播影视、文艺演出、群众体育、科技推广、科普培训等公益服务职责；负责网格化综合管理的事务性、辅助性工作，为网格化管理的巡查、指挥、调度、督办等工作提供技术支撑。</w:t>
      </w:r>
      <w:r>
        <w:rPr>
          <w:rFonts w:hint="eastAsia" w:asciiTheme="minorEastAsia" w:hAnsiTheme="minorEastAsia" w:cstheme="minorEastAsia"/>
          <w:sz w:val="28"/>
          <w:szCs w:val="28"/>
          <w:shd w:val="clear" w:color="auto" w:fill="FFFFFF"/>
        </w:rPr>
        <w:t>（2）</w:t>
      </w:r>
      <w:r>
        <w:rPr>
          <w:rFonts w:hint="eastAsia" w:asciiTheme="minorEastAsia" w:hAnsiTheme="minorEastAsia" w:cstheme="minorEastAsia"/>
          <w:sz w:val="28"/>
          <w:szCs w:val="28"/>
        </w:rPr>
        <w:t>农业综合服务中心：主要负责</w:t>
      </w:r>
      <w:r>
        <w:rPr>
          <w:rFonts w:hint="eastAsia" w:asciiTheme="minorEastAsia" w:hAnsiTheme="minorEastAsia" w:cstheme="minorEastAsia"/>
          <w:spacing w:val="-6"/>
          <w:sz w:val="28"/>
          <w:szCs w:val="28"/>
        </w:rPr>
        <w:t>组织指导农业产业发展、精准扶贫、移民开发管理、农业机械管理、畜牧水产发展、烟叶生产等农业农村工作；负责</w:t>
      </w:r>
      <w:r>
        <w:rPr>
          <w:rFonts w:hint="eastAsia" w:asciiTheme="minorEastAsia" w:hAnsiTheme="minorEastAsia" w:cstheme="minorEastAsia"/>
          <w:sz w:val="28"/>
          <w:szCs w:val="28"/>
        </w:rPr>
        <w:t>农业、林业、水利、农业机械、畜牧兽医等基层农业技术推广，动植物疫病防控防治、护林防火、防汛抗旱、农田水利建设、农产品质量安全监测等服务性、技术性工作。</w:t>
      </w:r>
      <w:r>
        <w:rPr>
          <w:rFonts w:hint="eastAsia" w:asciiTheme="minorEastAsia" w:hAnsiTheme="minorEastAsia" w:cstheme="minorEastAsia"/>
          <w:sz w:val="28"/>
          <w:szCs w:val="28"/>
          <w:shd w:val="clear" w:color="auto" w:fill="FFFFFF"/>
        </w:rPr>
        <w:t>（3）</w:t>
      </w:r>
      <w:r>
        <w:rPr>
          <w:rFonts w:hint="eastAsia" w:asciiTheme="minorEastAsia" w:hAnsiTheme="minorEastAsia" w:cstheme="minorEastAsia"/>
          <w:sz w:val="28"/>
          <w:szCs w:val="28"/>
        </w:rPr>
        <w:t>政务服务中心（挂党群服务中心牌子）：主要负责行政审批服务事项的组织实施；负责接听12345热线并督办相关问题；负责优化营商环境事务协调，办理与群众、企业密切相关政务服务事项。集中受理和办理涉及经济发展、公共管理以及与群众利益密切相关的行政许可（审批）、公共服务、便民服务事项；负责对各便民服务窗口和窗口工作人员进行管理考核；负责代办各类外来投资项目及与群众密切相关的服务事项。</w:t>
      </w:r>
    </w:p>
    <w:p>
      <w:pPr>
        <w:spacing w:line="5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shd w:val="clear" w:color="auto" w:fill="FFFFFF"/>
        </w:rPr>
        <w:t>3、执法机构：道林镇</w:t>
      </w:r>
      <w:r>
        <w:rPr>
          <w:rFonts w:hint="eastAsia" w:asciiTheme="minorEastAsia" w:hAnsiTheme="minorEastAsia" w:cstheme="minorEastAsia"/>
          <w:sz w:val="28"/>
          <w:szCs w:val="28"/>
        </w:rPr>
        <w:t>综合行政执法大队：负责统筹协调派驻机构和本级执法力量，在辖区内开展联合执法工作。依法依规相对集中行使或会同派驻机构行使在辖区范围内的农业、文化旅游、生态环境保护、城镇管理、市场监管</w:t>
      </w:r>
      <w:r>
        <w:rPr>
          <w:rFonts w:hint="eastAsia" w:asciiTheme="minorEastAsia" w:hAnsiTheme="minorEastAsia" w:cstheme="minorEastAsia"/>
          <w:spacing w:val="-6"/>
          <w:sz w:val="28"/>
          <w:szCs w:val="28"/>
        </w:rPr>
        <w:t>、交通运输等方面的行政执法权。</w:t>
      </w:r>
    </w:p>
    <w:p>
      <w:pPr>
        <w:pStyle w:val="3"/>
        <w:shd w:val="clear" w:color="auto" w:fill="FFFFFF"/>
        <w:spacing w:before="0" w:beforeAutospacing="0" w:after="0" w:afterAutospacing="0" w:line="500"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乡镇人大、纪检监察、人武部和群众团体等组织按有关规定设置。</w:t>
      </w:r>
    </w:p>
    <w:p>
      <w:pPr>
        <w:pStyle w:val="3"/>
        <w:shd w:val="clear" w:color="auto" w:fill="FFFFFF"/>
        <w:spacing w:before="0" w:beforeAutospacing="0" w:after="0" w:afterAutospacing="0" w:line="500" w:lineRule="exact"/>
        <w:ind w:firstLine="562" w:firstLineChars="200"/>
        <w:rPr>
          <w:rFonts w:ascii="仿宋" w:hAnsi="仿宋" w:eastAsia="仿宋" w:cs="仿宋"/>
          <w:b/>
          <w:bCs/>
          <w:sz w:val="28"/>
          <w:szCs w:val="28"/>
          <w:shd w:val="clear" w:color="auto" w:fill="FFFFFF"/>
        </w:rPr>
      </w:pPr>
      <w:r>
        <w:rPr>
          <w:rFonts w:hint="eastAsia" w:ascii="仿宋" w:hAnsi="仿宋" w:eastAsia="仿宋" w:cs="仿宋"/>
          <w:b/>
          <w:bCs/>
          <w:sz w:val="28"/>
          <w:szCs w:val="28"/>
          <w:shd w:val="clear" w:color="auto" w:fill="FFFFFF"/>
        </w:rPr>
        <w:t>（二）2022年重点工作计划</w:t>
      </w:r>
    </w:p>
    <w:p>
      <w:pPr>
        <w:pStyle w:val="3"/>
        <w:shd w:val="clear" w:color="auto" w:fill="FFFFFF"/>
        <w:spacing w:before="0" w:beforeAutospacing="0" w:after="0" w:afterAutospacing="0" w:line="500"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1、凝心聚力、攻坚克难，党的建设持续加强。扎实开展党史学习教育，圆满完成镇村换届，抓实抓牢党建基础，从严管党治党。</w:t>
      </w:r>
    </w:p>
    <w:p>
      <w:pPr>
        <w:pStyle w:val="3"/>
        <w:shd w:val="clear" w:color="auto" w:fill="FFFFFF"/>
        <w:spacing w:before="0" w:beforeAutospacing="0" w:after="0" w:afterAutospacing="0" w:line="500"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2、镇域发展更具活力，经济发展稳中有进。坚持古镇活、产业活、项目活则经济活的思路，凝心聚力促发展，将服务古镇开园作为头等大事来抓，产业项目建设提速提质。</w:t>
      </w:r>
    </w:p>
    <w:p>
      <w:pPr>
        <w:pStyle w:val="3"/>
        <w:shd w:val="clear" w:color="auto" w:fill="FFFFFF"/>
        <w:spacing w:before="0" w:beforeAutospacing="0" w:after="0" w:afterAutospacing="0" w:line="500"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3、乡村振兴有效推进。充分发挥政府主导、群众主体作用，创新方式方法推进乡村振兴。生态环境进一步改善，成功创建美丽宜居村庄，不断壮大村级集体经济收入。</w:t>
      </w:r>
    </w:p>
    <w:p>
      <w:pPr>
        <w:pStyle w:val="3"/>
        <w:shd w:val="clear" w:color="auto" w:fill="FFFFFF"/>
        <w:spacing w:before="0" w:beforeAutospacing="0" w:after="0" w:afterAutospacing="0" w:line="500"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4、民生福祉更加殷实。深入开展“四联五到位”民情大走访，进一步完善基础设施建设，进一步提升民生保障水平。</w:t>
      </w:r>
    </w:p>
    <w:p>
      <w:pPr>
        <w:pStyle w:val="3"/>
        <w:shd w:val="clear" w:color="auto" w:fill="FFFFFF"/>
        <w:spacing w:before="0" w:beforeAutospacing="0" w:after="0" w:afterAutospacing="0" w:line="500"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5、社会大局平安稳定。始终绷紧社会大安全大和谐大稳定这根弦，统筹抓好基层社会治理各项工作。持续开展道路交通安全整治专项行动，化解部分历史遗留问题，夯实筑牢安全底线。依法强化对食品药品安全、产品质量安全、网络安全等重点问题治理，确保全镇政治安定、社会安稳、群众安心。</w:t>
      </w:r>
    </w:p>
    <w:p>
      <w:pPr>
        <w:pStyle w:val="3"/>
        <w:shd w:val="clear" w:color="auto" w:fill="FFFFFF"/>
        <w:spacing w:before="0" w:beforeAutospacing="0" w:after="0" w:afterAutospacing="0" w:line="500"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6、转变工作作风，加强政府自身建设。树牢四个意识，建设对党绝对忠诚的政府。牢记为人民谋福祉的初心和使命，自觉用习近平新时代中国特色社会主义思想武装头脑，把党的政治建设摆在首位，进一步增强政治意识、大局意识、核心意识、看齐意识，始终在思想上政治上行动上同以习近平同志为核心的党中央保持高度一致，不折不扣、坚决贯彻中央决策部署，确保政令畅通。严明纪律、严守规矩，把对党绝对忠诚落实到为民服务、干事创业上。</w:t>
      </w:r>
    </w:p>
    <w:p>
      <w:pPr>
        <w:pStyle w:val="3"/>
        <w:shd w:val="clear" w:color="auto" w:fill="FFFFFF"/>
        <w:spacing w:before="0" w:beforeAutospacing="0" w:after="0" w:afterAutospacing="0" w:line="500" w:lineRule="exact"/>
        <w:ind w:firstLine="562"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b/>
          <w:bCs/>
          <w:sz w:val="28"/>
          <w:szCs w:val="28"/>
          <w:shd w:val="clear" w:color="auto" w:fill="FFFFFF"/>
        </w:rPr>
        <w:t>二、预算绩效评价工作开展情况</w:t>
      </w:r>
    </w:p>
    <w:p>
      <w:pPr>
        <w:pStyle w:val="3"/>
        <w:shd w:val="clear" w:color="auto" w:fill="FFFFFF"/>
        <w:spacing w:before="0" w:beforeAutospacing="0" w:after="0" w:afterAutospacing="0" w:line="500" w:lineRule="exact"/>
        <w:ind w:firstLine="562" w:firstLineChars="200"/>
        <w:rPr>
          <w:rFonts w:ascii="仿宋" w:hAnsi="仿宋" w:eastAsia="仿宋" w:cs="仿宋"/>
          <w:b/>
          <w:bCs/>
          <w:sz w:val="28"/>
          <w:szCs w:val="28"/>
          <w:shd w:val="clear" w:color="auto" w:fill="FFFFFF"/>
        </w:rPr>
      </w:pPr>
      <w:r>
        <w:rPr>
          <w:rFonts w:hint="eastAsia" w:ascii="仿宋" w:hAnsi="仿宋" w:eastAsia="仿宋" w:cs="仿宋"/>
          <w:b/>
          <w:bCs/>
          <w:sz w:val="28"/>
          <w:szCs w:val="28"/>
          <w:shd w:val="clear" w:color="auto" w:fill="FFFFFF"/>
        </w:rPr>
        <w:t>（一）部门整体绩效自评方式：查阅资料、走访调查。</w:t>
      </w:r>
    </w:p>
    <w:p>
      <w:pPr>
        <w:pStyle w:val="3"/>
        <w:shd w:val="clear" w:color="auto" w:fill="FFFFFF"/>
        <w:spacing w:before="0" w:beforeAutospacing="0" w:after="0" w:afterAutospacing="0" w:line="500" w:lineRule="exact"/>
        <w:ind w:firstLine="562" w:firstLineChars="200"/>
        <w:rPr>
          <w:rFonts w:ascii="仿宋" w:hAnsi="仿宋" w:eastAsia="仿宋" w:cs="仿宋"/>
          <w:b/>
          <w:bCs/>
          <w:sz w:val="28"/>
          <w:szCs w:val="28"/>
          <w:shd w:val="clear" w:color="auto" w:fill="FFFFFF"/>
        </w:rPr>
      </w:pPr>
      <w:r>
        <w:rPr>
          <w:rFonts w:hint="eastAsia" w:ascii="仿宋" w:hAnsi="仿宋" w:eastAsia="仿宋" w:cs="仿宋"/>
          <w:b/>
          <w:bCs/>
          <w:sz w:val="28"/>
          <w:szCs w:val="28"/>
          <w:shd w:val="clear" w:color="auto" w:fill="FFFFFF"/>
        </w:rPr>
        <w:t>（二）部门整体支出绩效评价主要来源：</w:t>
      </w:r>
    </w:p>
    <w:p>
      <w:pPr>
        <w:pStyle w:val="3"/>
        <w:shd w:val="clear" w:color="auto" w:fill="FFFFFF"/>
        <w:spacing w:before="0" w:beforeAutospacing="0" w:after="0" w:afterAutospacing="0" w:line="500"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1.镇人民政府2022年年初工作计划和2022年度工作总结；</w:t>
      </w:r>
    </w:p>
    <w:p>
      <w:pPr>
        <w:pStyle w:val="3"/>
        <w:shd w:val="clear" w:color="auto" w:fill="FFFFFF"/>
        <w:spacing w:before="0" w:beforeAutospacing="0" w:after="0" w:afterAutospacing="0" w:line="500"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2.镇人民政府2022年度部门预算和2022年度部门决算。</w:t>
      </w:r>
    </w:p>
    <w:p>
      <w:pPr>
        <w:pStyle w:val="3"/>
        <w:shd w:val="clear" w:color="auto" w:fill="FFFFFF"/>
        <w:spacing w:before="0" w:beforeAutospacing="0" w:after="0" w:afterAutospacing="0" w:line="500" w:lineRule="exact"/>
        <w:ind w:firstLine="562" w:firstLineChars="200"/>
        <w:rPr>
          <w:rFonts w:asciiTheme="minorEastAsia" w:hAnsiTheme="minorEastAsia" w:eastAsiaTheme="minorEastAsia" w:cstheme="minorEastAsia"/>
          <w:sz w:val="28"/>
          <w:szCs w:val="28"/>
          <w:shd w:val="clear" w:color="auto" w:fill="FFFFFF"/>
        </w:rPr>
      </w:pPr>
      <w:r>
        <w:rPr>
          <w:rFonts w:hint="eastAsia" w:ascii="仿宋" w:hAnsi="仿宋" w:eastAsia="仿宋" w:cs="仿宋"/>
          <w:b/>
          <w:bCs/>
          <w:sz w:val="28"/>
          <w:szCs w:val="28"/>
          <w:shd w:val="clear" w:color="auto" w:fill="FFFFFF"/>
        </w:rPr>
        <w:t>（三）预算编制和执行情况</w:t>
      </w:r>
    </w:p>
    <w:tbl>
      <w:tblPr>
        <w:tblStyle w:val="4"/>
        <w:tblW w:w="9360" w:type="dxa"/>
        <w:tblInd w:w="0" w:type="dxa"/>
        <w:tblLayout w:type="fixed"/>
        <w:tblCellMar>
          <w:top w:w="0" w:type="dxa"/>
          <w:left w:w="0" w:type="dxa"/>
          <w:bottom w:w="0" w:type="dxa"/>
          <w:right w:w="0" w:type="dxa"/>
        </w:tblCellMar>
      </w:tblPr>
      <w:tblGrid>
        <w:gridCol w:w="1672"/>
        <w:gridCol w:w="1680"/>
        <w:gridCol w:w="2040"/>
        <w:gridCol w:w="2040"/>
        <w:gridCol w:w="1928"/>
      </w:tblGrid>
      <w:tr>
        <w:tblPrEx>
          <w:tblCellMar>
            <w:top w:w="0" w:type="dxa"/>
            <w:left w:w="0" w:type="dxa"/>
            <w:bottom w:w="0" w:type="dxa"/>
            <w:right w:w="0" w:type="dxa"/>
          </w:tblCellMar>
        </w:tblPrEx>
        <w:trPr>
          <w:trHeight w:val="450" w:hRule="atLeast"/>
        </w:trPr>
        <w:tc>
          <w:tcPr>
            <w:tcW w:w="9360" w:type="dxa"/>
            <w:gridSpan w:val="5"/>
            <w:tcBorders>
              <w:top w:val="nil"/>
              <w:left w:val="nil"/>
              <w:bottom w:val="single" w:color="auto" w:sz="6" w:space="0"/>
              <w:right w:val="nil"/>
            </w:tcBorders>
            <w:tcMar>
              <w:top w:w="0" w:type="dxa"/>
              <w:left w:w="105" w:type="dxa"/>
              <w:bottom w:w="0" w:type="dxa"/>
              <w:right w:w="105" w:type="dxa"/>
            </w:tcMar>
            <w:vAlign w:val="bottom"/>
          </w:tcPr>
          <w:p>
            <w:pPr>
              <w:widowControl/>
              <w:spacing w:line="500" w:lineRule="exact"/>
              <w:ind w:firstLine="560" w:firstLineChars="200"/>
              <w:jc w:val="left"/>
              <w:textAlignment w:val="baseline"/>
              <w:rPr>
                <w:rFonts w:asciiTheme="minorEastAsia" w:hAnsiTheme="minorEastAsia" w:cstheme="minorEastAsia"/>
                <w:kern w:val="0"/>
                <w:sz w:val="28"/>
                <w:szCs w:val="28"/>
              </w:rPr>
            </w:pPr>
            <w:r>
              <w:rPr>
                <w:rFonts w:hint="eastAsia" w:asciiTheme="minorEastAsia" w:hAnsiTheme="minorEastAsia" w:cstheme="minorEastAsia"/>
                <w:kern w:val="0"/>
                <w:sz w:val="28"/>
                <w:szCs w:val="28"/>
              </w:rPr>
              <w:t>1、道林镇部门人员构成</w:t>
            </w:r>
          </w:p>
        </w:tc>
      </w:tr>
      <w:tr>
        <w:tblPrEx>
          <w:tblCellMar>
            <w:top w:w="0" w:type="dxa"/>
            <w:left w:w="0" w:type="dxa"/>
            <w:bottom w:w="0" w:type="dxa"/>
            <w:right w:w="0" w:type="dxa"/>
          </w:tblCellMar>
        </w:tblPrEx>
        <w:trPr>
          <w:trHeight w:val="600" w:hRule="atLeast"/>
        </w:trPr>
        <w:tc>
          <w:tcPr>
            <w:tcW w:w="1672" w:type="dxa"/>
            <w:vMerge w:val="restar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500" w:lineRule="exact"/>
              <w:ind w:firstLine="560" w:firstLineChars="200"/>
              <w:jc w:val="center"/>
              <w:textAlignment w:val="baseline"/>
              <w:rPr>
                <w:rFonts w:asciiTheme="minorEastAsia" w:hAnsiTheme="minorEastAsia" w:cstheme="minorEastAsia"/>
                <w:kern w:val="0"/>
                <w:sz w:val="28"/>
                <w:szCs w:val="28"/>
              </w:rPr>
            </w:pPr>
            <w:r>
              <w:rPr>
                <w:rFonts w:hint="eastAsia" w:asciiTheme="minorEastAsia" w:hAnsiTheme="minorEastAsia" w:cstheme="minorEastAsia"/>
                <w:kern w:val="0"/>
                <w:sz w:val="28"/>
                <w:szCs w:val="28"/>
              </w:rPr>
              <w:t>编制数</w:t>
            </w:r>
          </w:p>
        </w:tc>
        <w:tc>
          <w:tcPr>
            <w:tcW w:w="5760" w:type="dxa"/>
            <w:gridSpan w:val="3"/>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500" w:lineRule="exact"/>
              <w:ind w:firstLine="560" w:firstLineChars="200"/>
              <w:jc w:val="center"/>
              <w:textAlignment w:val="baseline"/>
              <w:rPr>
                <w:rFonts w:asciiTheme="minorEastAsia" w:hAnsiTheme="minorEastAsia" w:cstheme="minorEastAsia"/>
                <w:kern w:val="0"/>
                <w:sz w:val="28"/>
                <w:szCs w:val="28"/>
              </w:rPr>
            </w:pPr>
            <w:r>
              <w:rPr>
                <w:rFonts w:hint="eastAsia" w:asciiTheme="minorEastAsia" w:hAnsiTheme="minorEastAsia" w:cstheme="minorEastAsia"/>
                <w:kern w:val="0"/>
                <w:sz w:val="28"/>
                <w:szCs w:val="28"/>
              </w:rPr>
              <w:t>在编实有人数</w:t>
            </w:r>
          </w:p>
        </w:tc>
        <w:tc>
          <w:tcPr>
            <w:tcW w:w="1928"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00" w:lineRule="exact"/>
              <w:ind w:firstLine="560" w:firstLineChars="200"/>
              <w:jc w:val="center"/>
              <w:textAlignment w:val="baseline"/>
              <w:rPr>
                <w:rFonts w:asciiTheme="minorEastAsia" w:hAnsiTheme="minorEastAsia" w:cstheme="minorEastAsia"/>
                <w:kern w:val="0"/>
                <w:sz w:val="28"/>
                <w:szCs w:val="28"/>
              </w:rPr>
            </w:pPr>
            <w:r>
              <w:rPr>
                <w:rFonts w:hint="eastAsia" w:asciiTheme="minorEastAsia" w:hAnsiTheme="minorEastAsia" w:cstheme="minorEastAsia"/>
                <w:kern w:val="0"/>
                <w:sz w:val="28"/>
                <w:szCs w:val="28"/>
              </w:rPr>
              <w:t>退休人员</w:t>
            </w:r>
          </w:p>
        </w:tc>
      </w:tr>
      <w:tr>
        <w:tblPrEx>
          <w:tblCellMar>
            <w:top w:w="0" w:type="dxa"/>
            <w:left w:w="0" w:type="dxa"/>
            <w:bottom w:w="0" w:type="dxa"/>
            <w:right w:w="0" w:type="dxa"/>
          </w:tblCellMar>
        </w:tblPrEx>
        <w:trPr>
          <w:trHeight w:val="783" w:hRule="atLeast"/>
        </w:trPr>
        <w:tc>
          <w:tcPr>
            <w:tcW w:w="1672" w:type="dxa"/>
            <w:vMerge w:val="continue"/>
            <w:tcBorders>
              <w:top w:val="nil"/>
              <w:left w:val="single" w:color="auto" w:sz="6" w:space="0"/>
              <w:bottom w:val="single" w:color="auto" w:sz="6" w:space="0"/>
              <w:right w:val="single" w:color="auto" w:sz="6" w:space="0"/>
            </w:tcBorders>
            <w:vAlign w:val="center"/>
          </w:tcPr>
          <w:p>
            <w:pPr>
              <w:widowControl/>
              <w:spacing w:line="500" w:lineRule="exact"/>
              <w:ind w:firstLine="560" w:firstLineChars="200"/>
              <w:jc w:val="center"/>
              <w:rPr>
                <w:rFonts w:asciiTheme="minorEastAsia" w:hAnsiTheme="minorEastAsia" w:cstheme="minorEastAsia"/>
                <w:kern w:val="0"/>
                <w:sz w:val="28"/>
                <w:szCs w:val="28"/>
              </w:rPr>
            </w:pPr>
          </w:p>
        </w:tc>
        <w:tc>
          <w:tcPr>
            <w:tcW w:w="168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00" w:lineRule="exact"/>
              <w:ind w:firstLine="560" w:firstLineChars="200"/>
              <w:jc w:val="center"/>
              <w:textAlignment w:val="baseline"/>
              <w:rPr>
                <w:rFonts w:asciiTheme="minorEastAsia" w:hAnsiTheme="minorEastAsia" w:cstheme="minorEastAsia"/>
                <w:kern w:val="0"/>
                <w:sz w:val="28"/>
                <w:szCs w:val="28"/>
              </w:rPr>
            </w:pPr>
            <w:r>
              <w:rPr>
                <w:rFonts w:hint="eastAsia" w:asciiTheme="minorEastAsia" w:hAnsiTheme="minorEastAsia" w:cstheme="minorEastAsia"/>
                <w:kern w:val="0"/>
                <w:sz w:val="28"/>
                <w:szCs w:val="28"/>
              </w:rPr>
              <w:t>合 计</w:t>
            </w:r>
          </w:p>
        </w:tc>
        <w:tc>
          <w:tcPr>
            <w:tcW w:w="204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00" w:lineRule="exact"/>
              <w:ind w:firstLine="560" w:firstLineChars="200"/>
              <w:jc w:val="center"/>
              <w:textAlignment w:val="baseline"/>
              <w:rPr>
                <w:rFonts w:asciiTheme="minorEastAsia" w:hAnsiTheme="minorEastAsia" w:cstheme="minorEastAsia"/>
                <w:kern w:val="0"/>
                <w:sz w:val="28"/>
                <w:szCs w:val="28"/>
              </w:rPr>
            </w:pPr>
            <w:r>
              <w:rPr>
                <w:rFonts w:hint="eastAsia" w:asciiTheme="minorEastAsia" w:hAnsiTheme="minorEastAsia" w:cstheme="minorEastAsia"/>
                <w:kern w:val="0"/>
                <w:sz w:val="28"/>
                <w:szCs w:val="28"/>
              </w:rPr>
              <w:t>行政编制</w:t>
            </w:r>
          </w:p>
        </w:tc>
        <w:tc>
          <w:tcPr>
            <w:tcW w:w="204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00" w:lineRule="exact"/>
              <w:ind w:firstLine="560" w:firstLineChars="200"/>
              <w:jc w:val="center"/>
              <w:textAlignment w:val="baseline"/>
              <w:rPr>
                <w:rFonts w:asciiTheme="minorEastAsia" w:hAnsiTheme="minorEastAsia" w:cstheme="minorEastAsia"/>
                <w:kern w:val="0"/>
                <w:sz w:val="28"/>
                <w:szCs w:val="28"/>
              </w:rPr>
            </w:pPr>
            <w:r>
              <w:rPr>
                <w:rFonts w:hint="eastAsia" w:asciiTheme="minorEastAsia" w:hAnsiTheme="minorEastAsia" w:cstheme="minorEastAsia"/>
                <w:kern w:val="0"/>
                <w:sz w:val="28"/>
                <w:szCs w:val="28"/>
              </w:rPr>
              <w:t>事业编制</w:t>
            </w:r>
          </w:p>
        </w:tc>
        <w:tc>
          <w:tcPr>
            <w:tcW w:w="1928" w:type="dxa"/>
            <w:vMerge w:val="continue"/>
            <w:tcBorders>
              <w:top w:val="nil"/>
              <w:left w:val="nil"/>
              <w:bottom w:val="single" w:color="auto" w:sz="6" w:space="0"/>
              <w:right w:val="single" w:color="auto" w:sz="6" w:space="0"/>
            </w:tcBorders>
            <w:vAlign w:val="center"/>
          </w:tcPr>
          <w:p>
            <w:pPr>
              <w:widowControl/>
              <w:spacing w:line="500" w:lineRule="exact"/>
              <w:ind w:firstLine="560" w:firstLineChars="200"/>
              <w:jc w:val="center"/>
              <w:rPr>
                <w:rFonts w:asciiTheme="minorEastAsia" w:hAnsiTheme="minorEastAsia" w:cstheme="minorEastAsia"/>
                <w:kern w:val="0"/>
                <w:sz w:val="28"/>
                <w:szCs w:val="28"/>
              </w:rPr>
            </w:pPr>
          </w:p>
        </w:tc>
      </w:tr>
      <w:tr>
        <w:tblPrEx>
          <w:tblCellMar>
            <w:top w:w="0" w:type="dxa"/>
            <w:left w:w="0" w:type="dxa"/>
            <w:bottom w:w="0" w:type="dxa"/>
            <w:right w:w="0" w:type="dxa"/>
          </w:tblCellMar>
        </w:tblPrEx>
        <w:trPr>
          <w:trHeight w:val="600" w:hRule="atLeast"/>
        </w:trPr>
        <w:tc>
          <w:tcPr>
            <w:tcW w:w="1672"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500" w:lineRule="exact"/>
              <w:ind w:firstLine="560" w:firstLineChars="200"/>
              <w:jc w:val="center"/>
              <w:textAlignment w:val="baseline"/>
              <w:rPr>
                <w:rFonts w:asciiTheme="minorEastAsia" w:hAnsiTheme="minorEastAsia" w:cstheme="minorEastAsia"/>
                <w:kern w:val="0"/>
                <w:sz w:val="28"/>
                <w:szCs w:val="28"/>
              </w:rPr>
            </w:pPr>
            <w:r>
              <w:rPr>
                <w:rFonts w:hint="eastAsia" w:asciiTheme="minorEastAsia" w:hAnsiTheme="minorEastAsia" w:cstheme="minorEastAsia"/>
                <w:kern w:val="0"/>
                <w:sz w:val="28"/>
                <w:szCs w:val="28"/>
              </w:rPr>
              <w:t>141</w:t>
            </w:r>
          </w:p>
        </w:tc>
        <w:tc>
          <w:tcPr>
            <w:tcW w:w="168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00" w:lineRule="exact"/>
              <w:ind w:firstLine="560" w:firstLineChars="200"/>
              <w:jc w:val="center"/>
              <w:textAlignment w:val="baseline"/>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cstheme="minorEastAsia"/>
                <w:kern w:val="0"/>
                <w:sz w:val="28"/>
                <w:szCs w:val="28"/>
                <w:lang w:val="en-US" w:eastAsia="zh-CN"/>
              </w:rPr>
              <w:t>118</w:t>
            </w:r>
          </w:p>
        </w:tc>
        <w:tc>
          <w:tcPr>
            <w:tcW w:w="204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00" w:lineRule="exact"/>
              <w:ind w:firstLine="560" w:firstLineChars="200"/>
              <w:jc w:val="center"/>
              <w:textAlignment w:val="baseline"/>
              <w:rPr>
                <w:rFonts w:hint="eastAsia" w:asciiTheme="minorEastAsia" w:hAnsiTheme="minorEastAsia" w:eastAsiaTheme="minorEastAsia" w:cstheme="minorEastAsia"/>
                <w:kern w:val="0"/>
                <w:sz w:val="28"/>
                <w:szCs w:val="28"/>
                <w:lang w:eastAsia="zh-CN"/>
              </w:rPr>
            </w:pPr>
            <w:r>
              <w:rPr>
                <w:rFonts w:asciiTheme="minorEastAsia" w:hAnsiTheme="minorEastAsia" w:cstheme="minorEastAsia"/>
                <w:kern w:val="0"/>
                <w:sz w:val="28"/>
                <w:szCs w:val="28"/>
              </w:rPr>
              <w:t>4</w:t>
            </w:r>
            <w:r>
              <w:rPr>
                <w:rFonts w:hint="eastAsia" w:asciiTheme="minorEastAsia" w:hAnsiTheme="minorEastAsia" w:cstheme="minorEastAsia"/>
                <w:kern w:val="0"/>
                <w:sz w:val="28"/>
                <w:szCs w:val="28"/>
                <w:lang w:val="en-US" w:eastAsia="zh-CN"/>
              </w:rPr>
              <w:t>1</w:t>
            </w:r>
          </w:p>
        </w:tc>
        <w:tc>
          <w:tcPr>
            <w:tcW w:w="204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00" w:lineRule="exact"/>
              <w:ind w:firstLine="560" w:firstLineChars="200"/>
              <w:jc w:val="center"/>
              <w:textAlignment w:val="baseline"/>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cstheme="minorEastAsia"/>
                <w:kern w:val="0"/>
                <w:sz w:val="28"/>
                <w:szCs w:val="28"/>
                <w:lang w:val="en-US" w:eastAsia="zh-CN"/>
              </w:rPr>
              <w:t>77</w:t>
            </w:r>
          </w:p>
        </w:tc>
        <w:tc>
          <w:tcPr>
            <w:tcW w:w="19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500" w:lineRule="exact"/>
              <w:ind w:firstLine="560" w:firstLineChars="200"/>
              <w:jc w:val="center"/>
              <w:textAlignment w:val="baseline"/>
              <w:rPr>
                <w:rFonts w:asciiTheme="minorEastAsia" w:hAnsiTheme="minorEastAsia" w:cstheme="minorEastAsia"/>
                <w:kern w:val="0"/>
                <w:sz w:val="28"/>
                <w:szCs w:val="28"/>
              </w:rPr>
            </w:pPr>
            <w:r>
              <w:rPr>
                <w:rFonts w:asciiTheme="minorEastAsia" w:hAnsiTheme="minorEastAsia" w:cstheme="minorEastAsia"/>
                <w:kern w:val="0"/>
                <w:sz w:val="28"/>
                <w:szCs w:val="28"/>
              </w:rPr>
              <w:t>52</w:t>
            </w:r>
          </w:p>
        </w:tc>
      </w:tr>
    </w:tbl>
    <w:p>
      <w:pPr>
        <w:widowControl/>
        <w:spacing w:line="540" w:lineRule="atLeast"/>
        <w:ind w:firstLine="562" w:firstLineChars="200"/>
        <w:rPr>
          <w:rFonts w:asciiTheme="minorEastAsia" w:hAnsiTheme="minorEastAsia" w:cstheme="minorEastAsia"/>
          <w:b/>
          <w:color w:val="000000"/>
          <w:kern w:val="0"/>
          <w:sz w:val="28"/>
          <w:szCs w:val="28"/>
        </w:rPr>
      </w:pPr>
      <w:r>
        <w:rPr>
          <w:rFonts w:hint="eastAsia" w:asciiTheme="minorEastAsia" w:hAnsiTheme="minorEastAsia" w:cstheme="minorEastAsia"/>
          <w:b/>
          <w:color w:val="000000"/>
          <w:kern w:val="0"/>
          <w:sz w:val="28"/>
          <w:szCs w:val="28"/>
        </w:rPr>
        <w:t>2、2022年度道林镇财政收入完成情况</w:t>
      </w:r>
    </w:p>
    <w:p>
      <w:pPr>
        <w:widowControl/>
        <w:spacing w:line="540" w:lineRule="atLeast"/>
        <w:ind w:firstLine="560" w:firstLineChars="200"/>
        <w:rPr>
          <w:rFonts w:asciiTheme="minorEastAsia" w:hAnsiTheme="minorEastAsia" w:cstheme="minorEastAsia"/>
          <w:color w:val="000000"/>
          <w:kern w:val="0"/>
          <w:sz w:val="28"/>
          <w:szCs w:val="28"/>
        </w:rPr>
      </w:pPr>
      <w:r>
        <w:rPr>
          <w:rFonts w:hint="eastAsia" w:asciiTheme="minorEastAsia" w:hAnsiTheme="minorEastAsia" w:cstheme="minorEastAsia"/>
          <w:color w:val="000000"/>
          <w:kern w:val="0"/>
          <w:sz w:val="28"/>
          <w:szCs w:val="28"/>
        </w:rPr>
        <w:t>本年度我镇财政收入总额14308.46万元，为年度预算收入总额11719.7万元的122%。</w:t>
      </w:r>
    </w:p>
    <w:p>
      <w:pPr>
        <w:widowControl/>
        <w:spacing w:line="540" w:lineRule="atLeast"/>
        <w:ind w:firstLine="560" w:firstLineChars="200"/>
        <w:rPr>
          <w:rFonts w:asciiTheme="minorEastAsia" w:hAnsiTheme="minorEastAsia" w:cstheme="minorEastAsia"/>
          <w:color w:val="000000"/>
          <w:kern w:val="0"/>
          <w:sz w:val="28"/>
          <w:szCs w:val="28"/>
        </w:rPr>
      </w:pPr>
      <w:r>
        <w:rPr>
          <w:rFonts w:hint="eastAsia" w:asciiTheme="minorEastAsia" w:hAnsiTheme="minorEastAsia" w:cstheme="minorEastAsia"/>
          <w:color w:val="000000"/>
          <w:kern w:val="0"/>
          <w:sz w:val="28"/>
          <w:szCs w:val="28"/>
        </w:rPr>
        <w:t>一般公共预算补助收入5579.27万元；基金预算收入1880.04万元；上级补助收入1069.8万元；其他收入资金（代管资金）4198.55万元。上解支出：</w:t>
      </w:r>
      <w:r>
        <w:rPr>
          <w:rFonts w:hint="eastAsia" w:asciiTheme="minorEastAsia" w:hAnsiTheme="minorEastAsia" w:cstheme="minorEastAsia"/>
          <w:kern w:val="0"/>
          <w:sz w:val="28"/>
          <w:szCs w:val="28"/>
        </w:rPr>
        <w:t>1580.8</w:t>
      </w:r>
      <w:r>
        <w:rPr>
          <w:rFonts w:hint="eastAsia" w:asciiTheme="minorEastAsia" w:hAnsiTheme="minorEastAsia" w:cstheme="minorEastAsia"/>
          <w:color w:val="000000"/>
          <w:kern w:val="0"/>
          <w:sz w:val="28"/>
          <w:szCs w:val="28"/>
        </w:rPr>
        <w:t>万元，其中：税收收入1494万元，完成税</w:t>
      </w:r>
      <w:bookmarkStart w:id="0" w:name="_GoBack"/>
      <w:bookmarkEnd w:id="0"/>
      <w:r>
        <w:rPr>
          <w:rFonts w:hint="eastAsia" w:asciiTheme="minorEastAsia" w:hAnsiTheme="minorEastAsia" w:cstheme="minorEastAsia"/>
          <w:color w:val="000000"/>
          <w:kern w:val="0"/>
          <w:sz w:val="28"/>
          <w:szCs w:val="28"/>
        </w:rPr>
        <w:t>收任务1250万元的119.5%，非税收入86.8万元。</w:t>
      </w:r>
    </w:p>
    <w:p>
      <w:pPr>
        <w:widowControl/>
        <w:spacing w:line="540" w:lineRule="atLeast"/>
        <w:ind w:firstLine="562" w:firstLineChars="200"/>
        <w:rPr>
          <w:rFonts w:asciiTheme="minorEastAsia" w:hAnsiTheme="minorEastAsia" w:cstheme="minorEastAsia"/>
          <w:b/>
          <w:color w:val="000000"/>
          <w:kern w:val="0"/>
          <w:sz w:val="28"/>
          <w:szCs w:val="28"/>
        </w:rPr>
      </w:pPr>
      <w:r>
        <w:rPr>
          <w:rFonts w:hint="eastAsia" w:asciiTheme="minorEastAsia" w:hAnsiTheme="minorEastAsia" w:cstheme="minorEastAsia"/>
          <w:b/>
          <w:color w:val="000000"/>
          <w:kern w:val="0"/>
          <w:sz w:val="28"/>
          <w:szCs w:val="28"/>
        </w:rPr>
        <w:t>3、2022年度道林镇财政支出执行情况</w:t>
      </w:r>
    </w:p>
    <w:p>
      <w:pPr>
        <w:widowControl/>
        <w:spacing w:line="540" w:lineRule="atLeast"/>
        <w:ind w:firstLine="560" w:firstLineChars="200"/>
        <w:rPr>
          <w:rFonts w:asciiTheme="minorEastAsia" w:hAnsiTheme="minorEastAsia" w:cstheme="minorEastAsia"/>
          <w:color w:val="000000"/>
          <w:kern w:val="0"/>
          <w:sz w:val="28"/>
          <w:szCs w:val="28"/>
        </w:rPr>
      </w:pPr>
      <w:r>
        <w:rPr>
          <w:rFonts w:hint="eastAsia" w:asciiTheme="minorEastAsia" w:hAnsiTheme="minorEastAsia" w:cstheme="minorEastAsia"/>
          <w:color w:val="000000"/>
          <w:kern w:val="0"/>
          <w:sz w:val="28"/>
          <w:szCs w:val="28"/>
        </w:rPr>
        <w:t>本年度我镇财政支出总额14308.46万元，比上年同期的13487.36万元增加6%。</w:t>
      </w:r>
    </w:p>
    <w:p>
      <w:pPr>
        <w:widowControl/>
        <w:spacing w:line="540" w:lineRule="atLeast"/>
        <w:ind w:firstLine="560" w:firstLineChars="200"/>
        <w:rPr>
          <w:rFonts w:asciiTheme="minorEastAsia" w:hAnsiTheme="minorEastAsia" w:cstheme="minorEastAsia"/>
          <w:color w:val="000000"/>
          <w:kern w:val="0"/>
          <w:sz w:val="28"/>
          <w:szCs w:val="28"/>
        </w:rPr>
      </w:pPr>
      <w:r>
        <w:rPr>
          <w:rFonts w:hint="eastAsia" w:asciiTheme="minorEastAsia" w:hAnsiTheme="minorEastAsia" w:cstheme="minorEastAsia"/>
          <w:color w:val="000000"/>
          <w:kern w:val="0"/>
          <w:sz w:val="28"/>
          <w:szCs w:val="28"/>
        </w:rPr>
        <w:t>从主要支出功能执行情况看：一般公共服务支出</w:t>
      </w:r>
      <w:r>
        <w:rPr>
          <w:rFonts w:hint="eastAsia" w:asciiTheme="minorEastAsia" w:hAnsiTheme="minorEastAsia" w:cstheme="minorEastAsia"/>
          <w:kern w:val="0"/>
          <w:sz w:val="28"/>
          <w:szCs w:val="28"/>
        </w:rPr>
        <w:t>3141.48</w:t>
      </w:r>
      <w:r>
        <w:rPr>
          <w:rFonts w:hint="eastAsia" w:asciiTheme="minorEastAsia" w:hAnsiTheme="minorEastAsia" w:cstheme="minorEastAsia"/>
          <w:color w:val="000000"/>
          <w:kern w:val="0"/>
          <w:sz w:val="28"/>
          <w:szCs w:val="28"/>
        </w:rPr>
        <w:t>万元，比上年同期的4171.66万元减少24.7%，完成本年度一般公共服务支出预算2465.49万元的</w:t>
      </w:r>
      <w:r>
        <w:rPr>
          <w:rFonts w:hint="eastAsia" w:asciiTheme="minorEastAsia" w:hAnsiTheme="minorEastAsia" w:cstheme="minorEastAsia"/>
          <w:kern w:val="0"/>
          <w:sz w:val="28"/>
          <w:szCs w:val="28"/>
        </w:rPr>
        <w:t>127</w:t>
      </w:r>
      <w:r>
        <w:rPr>
          <w:rFonts w:hint="eastAsia" w:asciiTheme="minorEastAsia" w:hAnsiTheme="minorEastAsia" w:cstheme="minorEastAsia"/>
          <w:color w:val="000000"/>
          <w:kern w:val="0"/>
          <w:sz w:val="28"/>
          <w:szCs w:val="28"/>
        </w:rPr>
        <w:t>%；公共安全支出</w:t>
      </w:r>
      <w:r>
        <w:rPr>
          <w:rFonts w:hint="eastAsia" w:asciiTheme="minorEastAsia" w:hAnsiTheme="minorEastAsia" w:cstheme="minorEastAsia"/>
          <w:kern w:val="0"/>
          <w:sz w:val="28"/>
          <w:szCs w:val="28"/>
        </w:rPr>
        <w:t>3.1</w:t>
      </w:r>
      <w:r>
        <w:rPr>
          <w:rFonts w:hint="eastAsia" w:asciiTheme="minorEastAsia" w:hAnsiTheme="minorEastAsia" w:cstheme="minorEastAsia"/>
          <w:color w:val="000000"/>
          <w:kern w:val="0"/>
          <w:sz w:val="28"/>
          <w:szCs w:val="28"/>
        </w:rPr>
        <w:t>万元，比上年同期的32.64万元</w:t>
      </w:r>
      <w:r>
        <w:rPr>
          <w:rFonts w:hint="eastAsia" w:asciiTheme="minorEastAsia" w:hAnsiTheme="minorEastAsia" w:cstheme="minorEastAsia"/>
          <w:kern w:val="0"/>
          <w:sz w:val="28"/>
          <w:szCs w:val="28"/>
        </w:rPr>
        <w:t>减少90</w:t>
      </w:r>
      <w:r>
        <w:rPr>
          <w:rFonts w:hint="eastAsia" w:asciiTheme="minorEastAsia" w:hAnsiTheme="minorEastAsia" w:cstheme="minorEastAsia"/>
          <w:color w:val="000000"/>
          <w:kern w:val="0"/>
          <w:sz w:val="28"/>
          <w:szCs w:val="28"/>
        </w:rPr>
        <w:t>%，</w:t>
      </w:r>
      <w:r>
        <w:rPr>
          <w:rFonts w:hint="eastAsia" w:asciiTheme="minorEastAsia" w:hAnsiTheme="minorEastAsia" w:cstheme="minorEastAsia"/>
          <w:kern w:val="0"/>
          <w:sz w:val="28"/>
          <w:szCs w:val="28"/>
        </w:rPr>
        <w:t>年初未纳入预算</w:t>
      </w:r>
      <w:r>
        <w:rPr>
          <w:rFonts w:hint="eastAsia" w:asciiTheme="minorEastAsia" w:hAnsiTheme="minorEastAsia" w:cstheme="minorEastAsia"/>
          <w:color w:val="000000"/>
          <w:kern w:val="0"/>
          <w:sz w:val="28"/>
          <w:szCs w:val="28"/>
        </w:rPr>
        <w:t>；教育支出</w:t>
      </w:r>
      <w:r>
        <w:rPr>
          <w:rFonts w:hint="eastAsia" w:asciiTheme="minorEastAsia" w:hAnsiTheme="minorEastAsia" w:cstheme="minorEastAsia"/>
          <w:kern w:val="0"/>
          <w:sz w:val="28"/>
          <w:szCs w:val="28"/>
        </w:rPr>
        <w:t>332.03</w:t>
      </w:r>
      <w:r>
        <w:rPr>
          <w:rFonts w:hint="eastAsia" w:asciiTheme="minorEastAsia" w:hAnsiTheme="minorEastAsia" w:cstheme="minorEastAsia"/>
          <w:color w:val="000000"/>
          <w:kern w:val="0"/>
          <w:sz w:val="28"/>
          <w:szCs w:val="28"/>
        </w:rPr>
        <w:t>万元，比上年同期的237.25万元</w:t>
      </w:r>
      <w:r>
        <w:rPr>
          <w:rFonts w:hint="eastAsia" w:asciiTheme="minorEastAsia" w:hAnsiTheme="minorEastAsia" w:cstheme="minorEastAsia"/>
          <w:kern w:val="0"/>
          <w:sz w:val="28"/>
          <w:szCs w:val="28"/>
        </w:rPr>
        <w:t>增加39.9</w:t>
      </w:r>
      <w:r>
        <w:rPr>
          <w:rFonts w:hint="eastAsia" w:asciiTheme="minorEastAsia" w:hAnsiTheme="minorEastAsia" w:cstheme="minorEastAsia"/>
          <w:color w:val="000000"/>
          <w:kern w:val="0"/>
          <w:sz w:val="28"/>
          <w:szCs w:val="28"/>
        </w:rPr>
        <w:t>%，完成本年度教育支出预算400万元的</w:t>
      </w:r>
      <w:r>
        <w:rPr>
          <w:rFonts w:hint="eastAsia" w:asciiTheme="minorEastAsia" w:hAnsiTheme="minorEastAsia" w:cstheme="minorEastAsia"/>
          <w:kern w:val="0"/>
          <w:sz w:val="28"/>
          <w:szCs w:val="28"/>
        </w:rPr>
        <w:t>83</w:t>
      </w:r>
      <w:r>
        <w:rPr>
          <w:rFonts w:hint="eastAsia" w:asciiTheme="minorEastAsia" w:hAnsiTheme="minorEastAsia" w:cstheme="minorEastAsia"/>
          <w:color w:val="000000"/>
          <w:kern w:val="0"/>
          <w:sz w:val="28"/>
          <w:szCs w:val="28"/>
        </w:rPr>
        <w:t>%；文化体育与传媒支出</w:t>
      </w:r>
      <w:r>
        <w:rPr>
          <w:rFonts w:hint="eastAsia" w:asciiTheme="minorEastAsia" w:hAnsiTheme="minorEastAsia" w:cstheme="minorEastAsia"/>
          <w:kern w:val="0"/>
          <w:sz w:val="28"/>
          <w:szCs w:val="28"/>
        </w:rPr>
        <w:t>626.7</w:t>
      </w:r>
      <w:r>
        <w:rPr>
          <w:rFonts w:hint="eastAsia" w:asciiTheme="minorEastAsia" w:hAnsiTheme="minorEastAsia" w:cstheme="minorEastAsia"/>
          <w:color w:val="000000"/>
          <w:kern w:val="0"/>
          <w:sz w:val="28"/>
          <w:szCs w:val="28"/>
        </w:rPr>
        <w:t>万元，比上年同期的1014.84万元</w:t>
      </w:r>
      <w:r>
        <w:rPr>
          <w:rFonts w:hint="eastAsia" w:asciiTheme="minorEastAsia" w:hAnsiTheme="minorEastAsia" w:cstheme="minorEastAsia"/>
          <w:kern w:val="0"/>
          <w:sz w:val="28"/>
          <w:szCs w:val="28"/>
        </w:rPr>
        <w:t>减少38</w:t>
      </w:r>
      <w:r>
        <w:rPr>
          <w:rFonts w:hint="eastAsia" w:asciiTheme="minorEastAsia" w:hAnsiTheme="minorEastAsia" w:cstheme="minorEastAsia"/>
          <w:color w:val="000000"/>
          <w:kern w:val="0"/>
          <w:sz w:val="28"/>
          <w:szCs w:val="28"/>
        </w:rPr>
        <w:t>%，完成本年度文化体育与传媒支出预算1150万元</w:t>
      </w:r>
      <w:r>
        <w:rPr>
          <w:rFonts w:hint="eastAsia" w:asciiTheme="minorEastAsia" w:hAnsiTheme="minorEastAsia" w:cstheme="minorEastAsia"/>
          <w:kern w:val="0"/>
          <w:sz w:val="28"/>
          <w:szCs w:val="28"/>
        </w:rPr>
        <w:t>的54.5 %（</w:t>
      </w:r>
      <w:r>
        <w:rPr>
          <w:rFonts w:hint="eastAsia" w:ascii="宋体" w:hAnsi="宋体" w:cs="Times New Roman"/>
          <w:color w:val="000000"/>
          <w:sz w:val="28"/>
          <w:szCs w:val="28"/>
        </w:rPr>
        <w:t>受疫情影响，今年旅游业不景气，导致项目滞后。</w:t>
      </w:r>
      <w:r>
        <w:rPr>
          <w:rFonts w:hint="eastAsia" w:asciiTheme="minorEastAsia" w:hAnsiTheme="minorEastAsia" w:cstheme="minorEastAsia"/>
          <w:kern w:val="0"/>
          <w:sz w:val="28"/>
          <w:szCs w:val="28"/>
        </w:rPr>
        <w:t>）</w:t>
      </w:r>
      <w:r>
        <w:rPr>
          <w:rFonts w:hint="eastAsia" w:asciiTheme="minorEastAsia" w:hAnsiTheme="minorEastAsia" w:cstheme="minorEastAsia"/>
          <w:color w:val="000000"/>
          <w:kern w:val="0"/>
          <w:sz w:val="28"/>
          <w:szCs w:val="28"/>
        </w:rPr>
        <w:t>；社会保障与就业支出578.79万元，比上年同期的520.59万元</w:t>
      </w:r>
      <w:r>
        <w:rPr>
          <w:rFonts w:hint="eastAsia" w:asciiTheme="minorEastAsia" w:hAnsiTheme="minorEastAsia" w:cstheme="minorEastAsia"/>
          <w:kern w:val="0"/>
          <w:sz w:val="28"/>
          <w:szCs w:val="28"/>
        </w:rPr>
        <w:t>增加11%</w:t>
      </w:r>
      <w:r>
        <w:rPr>
          <w:rFonts w:hint="eastAsia" w:asciiTheme="minorEastAsia" w:hAnsiTheme="minorEastAsia" w:cstheme="minorEastAsia"/>
          <w:color w:val="000000"/>
          <w:kern w:val="0"/>
          <w:sz w:val="28"/>
          <w:szCs w:val="28"/>
        </w:rPr>
        <w:t>，完成本年度社会保障与就业支出预算640.71万元的</w:t>
      </w:r>
      <w:r>
        <w:rPr>
          <w:rFonts w:hint="eastAsia" w:asciiTheme="minorEastAsia" w:hAnsiTheme="minorEastAsia" w:cstheme="minorEastAsia"/>
          <w:kern w:val="0"/>
          <w:sz w:val="28"/>
          <w:szCs w:val="28"/>
        </w:rPr>
        <w:t>90.3</w:t>
      </w:r>
      <w:r>
        <w:rPr>
          <w:rFonts w:hint="eastAsia" w:asciiTheme="minorEastAsia" w:hAnsiTheme="minorEastAsia" w:cstheme="minorEastAsia"/>
          <w:color w:val="000000"/>
          <w:kern w:val="0"/>
          <w:sz w:val="28"/>
          <w:szCs w:val="28"/>
        </w:rPr>
        <w:t>%；卫生健康支出</w:t>
      </w:r>
      <w:r>
        <w:rPr>
          <w:rFonts w:hint="eastAsia" w:asciiTheme="minorEastAsia" w:hAnsiTheme="minorEastAsia" w:cstheme="minorEastAsia"/>
          <w:kern w:val="0"/>
          <w:sz w:val="28"/>
          <w:szCs w:val="28"/>
        </w:rPr>
        <w:t>136.54</w:t>
      </w:r>
      <w:r>
        <w:rPr>
          <w:rFonts w:hint="eastAsia" w:asciiTheme="minorEastAsia" w:hAnsiTheme="minorEastAsia" w:cstheme="minorEastAsia"/>
          <w:color w:val="000000"/>
          <w:kern w:val="0"/>
          <w:sz w:val="28"/>
          <w:szCs w:val="28"/>
        </w:rPr>
        <w:t>万元，比上年同期的111.3万元</w:t>
      </w:r>
      <w:r>
        <w:rPr>
          <w:rFonts w:hint="eastAsia" w:asciiTheme="minorEastAsia" w:hAnsiTheme="minorEastAsia" w:cstheme="minorEastAsia"/>
          <w:kern w:val="0"/>
          <w:sz w:val="28"/>
          <w:szCs w:val="28"/>
        </w:rPr>
        <w:t>增加22.7</w:t>
      </w:r>
      <w:r>
        <w:rPr>
          <w:rFonts w:hint="eastAsia" w:asciiTheme="minorEastAsia" w:hAnsiTheme="minorEastAsia" w:cstheme="minorEastAsia"/>
          <w:color w:val="000000"/>
          <w:kern w:val="0"/>
          <w:sz w:val="28"/>
          <w:szCs w:val="28"/>
        </w:rPr>
        <w:t>%，完成本年度卫生健康支出预算132.31万元的</w:t>
      </w:r>
      <w:r>
        <w:rPr>
          <w:rFonts w:hint="eastAsia" w:asciiTheme="minorEastAsia" w:hAnsiTheme="minorEastAsia" w:cstheme="minorEastAsia"/>
          <w:kern w:val="0"/>
          <w:sz w:val="28"/>
          <w:szCs w:val="28"/>
        </w:rPr>
        <w:t>103.2</w:t>
      </w:r>
      <w:r>
        <w:rPr>
          <w:rFonts w:hint="eastAsia" w:asciiTheme="minorEastAsia" w:hAnsiTheme="minorEastAsia" w:cstheme="minorEastAsia"/>
          <w:color w:val="000000"/>
          <w:kern w:val="0"/>
          <w:sz w:val="28"/>
          <w:szCs w:val="28"/>
        </w:rPr>
        <w:t>%；节能环保支出</w:t>
      </w:r>
      <w:r>
        <w:rPr>
          <w:rFonts w:hint="eastAsia" w:asciiTheme="minorEastAsia" w:hAnsiTheme="minorEastAsia" w:cstheme="minorEastAsia"/>
          <w:kern w:val="0"/>
          <w:sz w:val="28"/>
          <w:szCs w:val="28"/>
        </w:rPr>
        <w:t>735.48</w:t>
      </w:r>
      <w:r>
        <w:rPr>
          <w:rFonts w:hint="eastAsia" w:asciiTheme="minorEastAsia" w:hAnsiTheme="minorEastAsia" w:cstheme="minorEastAsia"/>
          <w:color w:val="000000"/>
          <w:kern w:val="0"/>
          <w:sz w:val="28"/>
          <w:szCs w:val="28"/>
        </w:rPr>
        <w:t>万元，比上年同期的574.45万元</w:t>
      </w:r>
      <w:r>
        <w:rPr>
          <w:rFonts w:hint="eastAsia" w:asciiTheme="minorEastAsia" w:hAnsiTheme="minorEastAsia" w:cstheme="minorEastAsia"/>
          <w:kern w:val="0"/>
          <w:sz w:val="28"/>
          <w:szCs w:val="28"/>
        </w:rPr>
        <w:t>增加28</w:t>
      </w:r>
      <w:r>
        <w:rPr>
          <w:rFonts w:hint="eastAsia" w:asciiTheme="minorEastAsia" w:hAnsiTheme="minorEastAsia" w:cstheme="minorEastAsia"/>
          <w:color w:val="000000"/>
          <w:kern w:val="0"/>
          <w:sz w:val="28"/>
          <w:szCs w:val="28"/>
        </w:rPr>
        <w:t>%，完成本年度节能环保支出预算1063万元的</w:t>
      </w:r>
      <w:r>
        <w:rPr>
          <w:rFonts w:hint="eastAsia" w:asciiTheme="minorEastAsia" w:hAnsiTheme="minorEastAsia" w:cstheme="minorEastAsia"/>
          <w:kern w:val="0"/>
          <w:sz w:val="28"/>
          <w:szCs w:val="28"/>
        </w:rPr>
        <w:t>70</w:t>
      </w:r>
      <w:r>
        <w:rPr>
          <w:rFonts w:hint="eastAsia" w:asciiTheme="minorEastAsia" w:hAnsiTheme="minorEastAsia" w:cstheme="minorEastAsia"/>
          <w:color w:val="000000"/>
          <w:kern w:val="0"/>
          <w:sz w:val="28"/>
          <w:szCs w:val="28"/>
        </w:rPr>
        <w:t>%；城乡社区事务支出</w:t>
      </w:r>
      <w:r>
        <w:rPr>
          <w:rFonts w:hint="eastAsia" w:asciiTheme="minorEastAsia" w:hAnsiTheme="minorEastAsia" w:cstheme="minorEastAsia"/>
          <w:kern w:val="0"/>
          <w:sz w:val="28"/>
          <w:szCs w:val="28"/>
        </w:rPr>
        <w:t>3348.4万元（土地开发支出1300万元为归还长沙金迪晟公司投资款，农村基础设施建设支出1800万元为归还湖南建工投资公司履约保证金），比上年同期的2222.04万元增加50.7%，</w:t>
      </w:r>
      <w:r>
        <w:rPr>
          <w:rFonts w:hint="eastAsia" w:asciiTheme="minorEastAsia" w:hAnsiTheme="minorEastAsia" w:cstheme="minorEastAsia"/>
          <w:color w:val="000000"/>
          <w:kern w:val="0"/>
          <w:sz w:val="28"/>
          <w:szCs w:val="28"/>
        </w:rPr>
        <w:t>年初未纳入预算</w:t>
      </w:r>
      <w:r>
        <w:rPr>
          <w:rFonts w:hint="eastAsia" w:asciiTheme="minorEastAsia" w:hAnsiTheme="minorEastAsia" w:cstheme="minorEastAsia"/>
          <w:kern w:val="0"/>
          <w:sz w:val="28"/>
          <w:szCs w:val="28"/>
        </w:rPr>
        <w:t>；</w:t>
      </w:r>
      <w:r>
        <w:rPr>
          <w:rFonts w:hint="eastAsia" w:asciiTheme="minorEastAsia" w:hAnsiTheme="minorEastAsia" w:cstheme="minorEastAsia"/>
          <w:color w:val="000000"/>
          <w:kern w:val="0"/>
          <w:sz w:val="28"/>
          <w:szCs w:val="28"/>
        </w:rPr>
        <w:t>农林水事务支出</w:t>
      </w:r>
      <w:r>
        <w:rPr>
          <w:rFonts w:hint="eastAsia" w:asciiTheme="minorEastAsia" w:hAnsiTheme="minorEastAsia" w:cstheme="minorEastAsia"/>
          <w:kern w:val="0"/>
          <w:sz w:val="28"/>
          <w:szCs w:val="28"/>
        </w:rPr>
        <w:t>3075.1</w:t>
      </w:r>
      <w:r>
        <w:rPr>
          <w:rFonts w:hint="eastAsia" w:asciiTheme="minorEastAsia" w:hAnsiTheme="minorEastAsia" w:cstheme="minorEastAsia"/>
          <w:color w:val="000000"/>
          <w:kern w:val="0"/>
          <w:sz w:val="28"/>
          <w:szCs w:val="28"/>
        </w:rPr>
        <w:t>万元，比上年同期的2875.29万元</w:t>
      </w:r>
      <w:r>
        <w:rPr>
          <w:rFonts w:hint="eastAsia" w:asciiTheme="minorEastAsia" w:hAnsiTheme="minorEastAsia" w:cstheme="minorEastAsia"/>
          <w:kern w:val="0"/>
          <w:sz w:val="28"/>
          <w:szCs w:val="28"/>
        </w:rPr>
        <w:t>增加6.9</w:t>
      </w:r>
      <w:r>
        <w:rPr>
          <w:rFonts w:hint="eastAsia" w:asciiTheme="minorEastAsia" w:hAnsiTheme="minorEastAsia" w:cstheme="minorEastAsia"/>
          <w:color w:val="000000"/>
          <w:kern w:val="0"/>
          <w:sz w:val="28"/>
          <w:szCs w:val="28"/>
        </w:rPr>
        <w:t>%，完成本年度农林水事务支出预算3085万元的</w:t>
      </w:r>
      <w:r>
        <w:rPr>
          <w:rFonts w:hint="eastAsia" w:asciiTheme="minorEastAsia" w:hAnsiTheme="minorEastAsia" w:cstheme="minorEastAsia"/>
          <w:kern w:val="0"/>
          <w:sz w:val="28"/>
          <w:szCs w:val="28"/>
        </w:rPr>
        <w:t>99.7</w:t>
      </w:r>
      <w:r>
        <w:rPr>
          <w:rFonts w:hint="eastAsia" w:asciiTheme="minorEastAsia" w:hAnsiTheme="minorEastAsia" w:cstheme="minorEastAsia"/>
          <w:color w:val="000000"/>
          <w:kern w:val="0"/>
          <w:sz w:val="28"/>
          <w:szCs w:val="28"/>
        </w:rPr>
        <w:t>%；交通运输支出504.05万元，比上年同期的266.23万元增加89%，完成本年度交通运输支出预算1240万元的</w:t>
      </w:r>
      <w:r>
        <w:rPr>
          <w:rFonts w:hint="eastAsia" w:asciiTheme="minorEastAsia" w:hAnsiTheme="minorEastAsia" w:cstheme="minorEastAsia"/>
          <w:kern w:val="0"/>
          <w:sz w:val="28"/>
          <w:szCs w:val="28"/>
        </w:rPr>
        <w:t>40.6</w:t>
      </w:r>
      <w:r>
        <w:rPr>
          <w:rFonts w:hint="eastAsia" w:asciiTheme="minorEastAsia" w:hAnsiTheme="minorEastAsia" w:cstheme="minorEastAsia"/>
          <w:color w:val="000000"/>
          <w:kern w:val="0"/>
          <w:sz w:val="28"/>
          <w:szCs w:val="28"/>
        </w:rPr>
        <w:t>%（</w:t>
      </w:r>
      <w:r>
        <w:rPr>
          <w:rFonts w:hint="eastAsia" w:ascii="宋体" w:hAnsi="宋体" w:cs="Times New Roman"/>
          <w:color w:val="000000"/>
          <w:sz w:val="28"/>
          <w:szCs w:val="28"/>
        </w:rPr>
        <w:t>G354道路用地手续正在办理中，项目滞后）</w:t>
      </w:r>
      <w:r>
        <w:rPr>
          <w:rFonts w:hint="eastAsia" w:asciiTheme="minorEastAsia" w:hAnsiTheme="minorEastAsia" w:cstheme="minorEastAsia"/>
          <w:color w:val="000000"/>
          <w:kern w:val="0"/>
          <w:sz w:val="28"/>
          <w:szCs w:val="28"/>
        </w:rPr>
        <w:t>；</w:t>
      </w:r>
      <w:r>
        <w:rPr>
          <w:rFonts w:hint="eastAsia" w:asciiTheme="minorEastAsia" w:hAnsiTheme="minorEastAsia" w:cstheme="minorEastAsia"/>
          <w:kern w:val="0"/>
          <w:sz w:val="28"/>
          <w:szCs w:val="28"/>
        </w:rPr>
        <w:t>商业服务业等支出0.2万元，比上年同期的7.61万元减少97%，年初未纳入预算；</w:t>
      </w:r>
      <w:r>
        <w:rPr>
          <w:rFonts w:hint="eastAsia" w:asciiTheme="minorEastAsia" w:hAnsiTheme="minorEastAsia" w:cstheme="minorEastAsia"/>
          <w:color w:val="000000"/>
          <w:kern w:val="0"/>
          <w:sz w:val="28"/>
          <w:szCs w:val="28"/>
        </w:rPr>
        <w:t>住房保障支出</w:t>
      </w:r>
      <w:r>
        <w:rPr>
          <w:rFonts w:hint="eastAsia" w:asciiTheme="minorEastAsia" w:hAnsiTheme="minorEastAsia" w:cstheme="minorEastAsia"/>
          <w:kern w:val="0"/>
          <w:sz w:val="28"/>
          <w:szCs w:val="28"/>
        </w:rPr>
        <w:t>91.79</w:t>
      </w:r>
      <w:r>
        <w:rPr>
          <w:rFonts w:hint="eastAsia" w:asciiTheme="minorEastAsia" w:hAnsiTheme="minorEastAsia" w:cstheme="minorEastAsia"/>
          <w:color w:val="000000"/>
          <w:kern w:val="0"/>
          <w:sz w:val="28"/>
          <w:szCs w:val="28"/>
        </w:rPr>
        <w:t>万元，比上年同期213.69万元</w:t>
      </w:r>
      <w:r>
        <w:rPr>
          <w:rFonts w:hint="eastAsia" w:asciiTheme="minorEastAsia" w:hAnsiTheme="minorEastAsia" w:cstheme="minorEastAsia"/>
          <w:kern w:val="0"/>
          <w:sz w:val="28"/>
          <w:szCs w:val="28"/>
        </w:rPr>
        <w:t>减少57</w:t>
      </w:r>
      <w:r>
        <w:rPr>
          <w:rFonts w:hint="eastAsia" w:asciiTheme="minorEastAsia" w:hAnsiTheme="minorEastAsia" w:cstheme="minorEastAsia"/>
          <w:color w:val="000000"/>
          <w:kern w:val="0"/>
          <w:sz w:val="28"/>
          <w:szCs w:val="28"/>
        </w:rPr>
        <w:t>%，完成本年度住房保障支出预算93.19万元的</w:t>
      </w:r>
      <w:r>
        <w:rPr>
          <w:rFonts w:hint="eastAsia" w:asciiTheme="minorEastAsia" w:hAnsiTheme="minorEastAsia" w:cstheme="minorEastAsia"/>
          <w:kern w:val="0"/>
          <w:sz w:val="28"/>
          <w:szCs w:val="28"/>
        </w:rPr>
        <w:t>98.5</w:t>
      </w:r>
      <w:r>
        <w:rPr>
          <w:rFonts w:hint="eastAsia" w:asciiTheme="minorEastAsia" w:hAnsiTheme="minorEastAsia" w:cstheme="minorEastAsia"/>
          <w:color w:val="000000"/>
          <w:kern w:val="0"/>
          <w:sz w:val="28"/>
          <w:szCs w:val="28"/>
        </w:rPr>
        <w:t>%；灾害防治及应急管理支出</w:t>
      </w:r>
      <w:r>
        <w:rPr>
          <w:rFonts w:hint="eastAsia" w:asciiTheme="minorEastAsia" w:hAnsiTheme="minorEastAsia" w:cstheme="minorEastAsia"/>
          <w:kern w:val="0"/>
          <w:sz w:val="28"/>
          <w:szCs w:val="28"/>
        </w:rPr>
        <w:t>136.32</w:t>
      </w:r>
      <w:r>
        <w:rPr>
          <w:rFonts w:hint="eastAsia" w:asciiTheme="minorEastAsia" w:hAnsiTheme="minorEastAsia" w:cstheme="minorEastAsia"/>
          <w:color w:val="000000"/>
          <w:kern w:val="0"/>
          <w:sz w:val="28"/>
          <w:szCs w:val="28"/>
        </w:rPr>
        <w:t>万元，比上年同期的37.81万元</w:t>
      </w:r>
      <w:r>
        <w:rPr>
          <w:rFonts w:hint="eastAsia" w:asciiTheme="minorEastAsia" w:hAnsiTheme="minorEastAsia" w:cstheme="minorEastAsia"/>
          <w:kern w:val="0"/>
          <w:sz w:val="28"/>
          <w:szCs w:val="28"/>
        </w:rPr>
        <w:t>增加260</w:t>
      </w:r>
      <w:r>
        <w:rPr>
          <w:rFonts w:hint="eastAsia" w:asciiTheme="minorEastAsia" w:hAnsiTheme="minorEastAsia" w:cstheme="minorEastAsia"/>
          <w:color w:val="000000"/>
          <w:kern w:val="0"/>
          <w:sz w:val="28"/>
          <w:szCs w:val="28"/>
        </w:rPr>
        <w:t>%（其他应急管理支出105万元是烟花爆竹行业自愿退出企业奖补资金，是本年新增项目），完成本年度灾害防治及应急管理支出预算200万元的</w:t>
      </w:r>
      <w:r>
        <w:rPr>
          <w:rFonts w:hint="eastAsia" w:asciiTheme="minorEastAsia" w:hAnsiTheme="minorEastAsia" w:cstheme="minorEastAsia"/>
          <w:kern w:val="0"/>
          <w:sz w:val="28"/>
          <w:szCs w:val="28"/>
        </w:rPr>
        <w:t>68</w:t>
      </w:r>
      <w:r>
        <w:rPr>
          <w:rFonts w:hint="eastAsia" w:asciiTheme="minorEastAsia" w:hAnsiTheme="minorEastAsia" w:cstheme="minorEastAsia"/>
          <w:color w:val="000000"/>
          <w:kern w:val="0"/>
          <w:sz w:val="28"/>
          <w:szCs w:val="28"/>
        </w:rPr>
        <w:t>%；其他支出17.68万元，年初未纳入预算。上解支出</w:t>
      </w:r>
      <w:r>
        <w:rPr>
          <w:rFonts w:hint="eastAsia" w:asciiTheme="minorEastAsia" w:hAnsiTheme="minorEastAsia" w:cstheme="minorEastAsia"/>
          <w:kern w:val="0"/>
          <w:sz w:val="28"/>
          <w:szCs w:val="28"/>
        </w:rPr>
        <w:t>1580.8</w:t>
      </w:r>
      <w:r>
        <w:rPr>
          <w:rFonts w:hint="eastAsia" w:asciiTheme="minorEastAsia" w:hAnsiTheme="minorEastAsia" w:cstheme="minorEastAsia"/>
          <w:color w:val="000000"/>
          <w:kern w:val="0"/>
          <w:sz w:val="28"/>
          <w:szCs w:val="28"/>
        </w:rPr>
        <w:t>万元，应上解的收入及时足额上解。</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财政预算执行的结果：年度财政收支平衡。从2022年财政收支情况来看，其主要特点是：财政收入稳定增长，财政支出在保工资、保稳定、促发展等方面的作用显著增强。</w:t>
      </w:r>
    </w:p>
    <w:p>
      <w:pPr>
        <w:widowControl/>
        <w:shd w:val="clear" w:color="auto" w:fill="FFFFFF"/>
        <w:spacing w:line="500" w:lineRule="exact"/>
        <w:ind w:firstLine="560" w:firstLineChars="200"/>
        <w:jc w:val="left"/>
        <w:textAlignment w:val="baseline"/>
        <w:rPr>
          <w:rFonts w:asciiTheme="minorEastAsia" w:hAnsiTheme="minorEastAsia" w:cstheme="minorEastAsia"/>
          <w:kern w:val="0"/>
          <w:sz w:val="28"/>
          <w:szCs w:val="28"/>
        </w:rPr>
      </w:pPr>
      <w:r>
        <w:rPr>
          <w:rFonts w:hint="eastAsia" w:asciiTheme="minorEastAsia" w:hAnsiTheme="minorEastAsia" w:cstheme="minorEastAsia"/>
          <w:kern w:val="0"/>
          <w:sz w:val="28"/>
          <w:szCs w:val="28"/>
        </w:rPr>
        <w:t>我镇从年初工作计划和年度整体支出情况来看，一是预算执行情况较好，支出把关较严，量力而行，量财办事；二是制定了部门内部管理制度。下发了干部管理意见，财务管理意见，党风廉政建设制度，总体来看，内部管理较好；三是严格执行三重一大，大额资金实行集体讨论，无领导打招呼和私自签批行为；四是坚持签字一支笔，无随签随支行为；五是专项资金实行“三专”管理，无套取、挪用、截留等行为，加强项目支出管理；六是严格执行预算管理，真正做到先有预算后有支出，无超支和乱支行为，在保障各项工作有序开展的同时，确保资金使用效率最大化；七是资产一年一清，确保了国有资产无流失和浪费行为；八是坚持厉行节约，杜绝大吃大喝，严格执行接待标准和公务用车管理，确保了保工资、保运转和民生的刚性支出。九是档案管理规范，专人管理，查阅有记录，借用有签批；十是廉政建设执行率较好，把党风廉政建设摆在突出位置，强化履职。</w:t>
      </w:r>
    </w:p>
    <w:p>
      <w:pPr>
        <w:widowControl/>
        <w:numPr>
          <w:ilvl w:val="0"/>
          <w:numId w:val="3"/>
        </w:numPr>
        <w:shd w:val="clear" w:color="auto" w:fill="FFFFFF"/>
        <w:spacing w:line="500" w:lineRule="exact"/>
        <w:ind w:firstLine="562" w:firstLineChars="200"/>
        <w:jc w:val="left"/>
        <w:textAlignment w:val="baseline"/>
        <w:rPr>
          <w:rFonts w:ascii="仿宋" w:hAnsi="仿宋" w:eastAsia="仿宋" w:cs="仿宋"/>
          <w:b/>
          <w:bCs/>
          <w:kern w:val="0"/>
          <w:sz w:val="28"/>
          <w:szCs w:val="28"/>
        </w:rPr>
      </w:pPr>
      <w:r>
        <w:rPr>
          <w:rFonts w:hint="eastAsia" w:ascii="仿宋" w:hAnsi="仿宋" w:eastAsia="仿宋" w:cs="仿宋"/>
          <w:b/>
          <w:bCs/>
          <w:kern w:val="0"/>
          <w:sz w:val="28"/>
          <w:szCs w:val="28"/>
        </w:rPr>
        <w:t>绩效评价整体结果</w:t>
      </w:r>
    </w:p>
    <w:p>
      <w:pPr>
        <w:widowControl/>
        <w:shd w:val="clear" w:color="auto" w:fill="FFFFFF"/>
        <w:spacing w:line="500" w:lineRule="exact"/>
        <w:ind w:firstLine="560" w:firstLineChars="200"/>
        <w:jc w:val="left"/>
        <w:textAlignment w:val="baseline"/>
        <w:rPr>
          <w:rFonts w:asciiTheme="minorEastAsia" w:hAnsiTheme="minorEastAsia" w:cstheme="minorEastAsia"/>
          <w:kern w:val="0"/>
          <w:sz w:val="28"/>
          <w:szCs w:val="28"/>
        </w:rPr>
      </w:pPr>
      <w:r>
        <w:rPr>
          <w:rFonts w:hint="eastAsia" w:asciiTheme="minorEastAsia" w:hAnsiTheme="minorEastAsia" w:cstheme="minorEastAsia"/>
          <w:kern w:val="0"/>
          <w:sz w:val="28"/>
          <w:szCs w:val="28"/>
        </w:rPr>
        <w:t>2022年，我单位积极履职，强化管理，较好地完成了年度工作目标。根据部门整体支出绩效评价指标体系，总体得分</w:t>
      </w:r>
      <w:r>
        <w:rPr>
          <w:rFonts w:asciiTheme="minorEastAsia" w:hAnsiTheme="minorEastAsia" w:cstheme="minorEastAsia"/>
          <w:kern w:val="0"/>
          <w:sz w:val="28"/>
          <w:szCs w:val="28"/>
        </w:rPr>
        <w:t>90</w:t>
      </w:r>
      <w:r>
        <w:rPr>
          <w:rFonts w:hint="eastAsia" w:asciiTheme="minorEastAsia" w:hAnsiTheme="minorEastAsia" w:cstheme="minorEastAsia"/>
          <w:kern w:val="0"/>
          <w:sz w:val="28"/>
          <w:szCs w:val="28"/>
        </w:rPr>
        <w:t>分。部门整体支出绩效情况如下：</w:t>
      </w:r>
    </w:p>
    <w:p>
      <w:pPr>
        <w:widowControl/>
        <w:shd w:val="clear" w:color="auto" w:fill="FFFFFF"/>
        <w:spacing w:line="500" w:lineRule="exact"/>
        <w:ind w:firstLine="560" w:firstLineChars="200"/>
        <w:jc w:val="left"/>
        <w:textAlignment w:val="baseline"/>
        <w:rPr>
          <w:rFonts w:asciiTheme="minorEastAsia" w:hAnsiTheme="minorEastAsia" w:cstheme="minorEastAsia"/>
          <w:kern w:val="0"/>
          <w:sz w:val="28"/>
          <w:szCs w:val="28"/>
        </w:rPr>
      </w:pPr>
      <w:r>
        <w:rPr>
          <w:rFonts w:hint="eastAsia" w:asciiTheme="minorEastAsia" w:hAnsiTheme="minorEastAsia" w:cstheme="minorEastAsia"/>
          <w:kern w:val="0"/>
          <w:sz w:val="28"/>
          <w:szCs w:val="28"/>
        </w:rPr>
        <w:t>1、投入18分</w:t>
      </w:r>
    </w:p>
    <w:p>
      <w:pPr>
        <w:widowControl/>
        <w:shd w:val="clear" w:color="auto" w:fill="FFFFFF"/>
        <w:spacing w:line="500" w:lineRule="exact"/>
        <w:ind w:firstLine="560" w:firstLineChars="200"/>
        <w:jc w:val="left"/>
        <w:textAlignment w:val="baseline"/>
        <w:rPr>
          <w:rFonts w:asciiTheme="minorEastAsia" w:hAnsiTheme="minorEastAsia" w:cstheme="minorEastAsia"/>
          <w:kern w:val="0"/>
          <w:sz w:val="28"/>
          <w:szCs w:val="28"/>
        </w:rPr>
      </w:pPr>
      <w:r>
        <w:rPr>
          <w:rFonts w:hint="eastAsia" w:asciiTheme="minorEastAsia" w:hAnsiTheme="minorEastAsia" w:cstheme="minorEastAsia"/>
          <w:kern w:val="0"/>
          <w:sz w:val="28"/>
          <w:szCs w:val="28"/>
        </w:rPr>
        <w:t>目标设定得5分，绩效目标明确、清晰、合理、与资金匹配良好。预算配置得13分，其中：在职人员控制率：在职1</w:t>
      </w:r>
      <w:r>
        <w:rPr>
          <w:rFonts w:asciiTheme="minorEastAsia" w:hAnsiTheme="minorEastAsia" w:cstheme="minorEastAsia"/>
          <w:kern w:val="0"/>
          <w:sz w:val="28"/>
          <w:szCs w:val="28"/>
        </w:rPr>
        <w:t>22</w:t>
      </w:r>
      <w:r>
        <w:rPr>
          <w:rFonts w:hint="eastAsia" w:asciiTheme="minorEastAsia" w:hAnsiTheme="minorEastAsia" w:cstheme="minorEastAsia"/>
          <w:kern w:val="0"/>
          <w:sz w:val="28"/>
          <w:szCs w:val="28"/>
        </w:rPr>
        <w:t>人/编制141人*1%=8</w:t>
      </w:r>
      <w:r>
        <w:rPr>
          <w:rFonts w:asciiTheme="minorEastAsia" w:hAnsiTheme="minorEastAsia" w:cstheme="minorEastAsia"/>
          <w:kern w:val="0"/>
          <w:sz w:val="28"/>
          <w:szCs w:val="28"/>
        </w:rPr>
        <w:t>6</w:t>
      </w:r>
      <w:r>
        <w:rPr>
          <w:rFonts w:hint="eastAsia" w:asciiTheme="minorEastAsia" w:hAnsiTheme="minorEastAsia" w:cstheme="minorEastAsia"/>
          <w:kern w:val="0"/>
          <w:sz w:val="28"/>
          <w:szCs w:val="28"/>
        </w:rPr>
        <w:t>%，得 3分；“三公”经费预算数无变动，变动率等于0，得5分；重点支出安排率100%，得5分。</w:t>
      </w:r>
    </w:p>
    <w:p>
      <w:pPr>
        <w:widowControl/>
        <w:shd w:val="clear" w:color="auto" w:fill="FFFFFF"/>
        <w:spacing w:line="500" w:lineRule="exact"/>
        <w:ind w:firstLine="560" w:firstLineChars="200"/>
        <w:jc w:val="left"/>
        <w:textAlignment w:val="baseline"/>
        <w:rPr>
          <w:rFonts w:asciiTheme="minorEastAsia" w:hAnsiTheme="minorEastAsia" w:cstheme="minorEastAsia"/>
          <w:kern w:val="0"/>
          <w:sz w:val="28"/>
          <w:szCs w:val="28"/>
        </w:rPr>
      </w:pPr>
      <w:r>
        <w:rPr>
          <w:rFonts w:hint="eastAsia" w:asciiTheme="minorEastAsia" w:hAnsiTheme="minorEastAsia" w:cstheme="minorEastAsia"/>
          <w:kern w:val="0"/>
          <w:sz w:val="28"/>
          <w:szCs w:val="28"/>
        </w:rPr>
        <w:t>2、过程56分</w:t>
      </w:r>
    </w:p>
    <w:p>
      <w:pPr>
        <w:pStyle w:val="3"/>
        <w:shd w:val="clear" w:color="auto" w:fill="FFFFFF"/>
        <w:spacing w:before="0" w:beforeAutospacing="0" w:after="0" w:afterAutospacing="0" w:line="5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auto" w:fill="FFFFFF"/>
        </w:rPr>
        <w:t>（1）预算执行得31分。预算完成率100%，得6分；预算调整率</w:t>
      </w:r>
      <w:r>
        <w:rPr>
          <w:rFonts w:asciiTheme="minorEastAsia" w:hAnsiTheme="minorEastAsia" w:eastAsiaTheme="minorEastAsia" w:cstheme="minorEastAsia"/>
          <w:sz w:val="28"/>
          <w:szCs w:val="28"/>
          <w:shd w:val="clear" w:color="auto" w:fill="FFFFFF"/>
        </w:rPr>
        <w:t>21</w:t>
      </w:r>
      <w:r>
        <w:rPr>
          <w:rFonts w:hint="eastAsia" w:asciiTheme="minorEastAsia" w:hAnsiTheme="minorEastAsia" w:eastAsiaTheme="minorEastAsia" w:cstheme="minorEastAsia"/>
          <w:sz w:val="28"/>
          <w:szCs w:val="28"/>
          <w:shd w:val="clear" w:color="auto" w:fill="FFFFFF"/>
        </w:rPr>
        <w:t>%，得0分；无结转结余数，得5分；公用经费控制率在100%以下，得5分；“三公经费”控制率在100%以下，得5分；政府采购执行率1</w:t>
      </w:r>
      <w:r>
        <w:rPr>
          <w:rFonts w:asciiTheme="minorEastAsia" w:hAnsiTheme="minorEastAsia" w:eastAsiaTheme="minorEastAsia" w:cstheme="minorEastAsia"/>
          <w:sz w:val="28"/>
          <w:szCs w:val="28"/>
          <w:shd w:val="clear" w:color="auto" w:fill="FFFFFF"/>
        </w:rPr>
        <w:t>09</w:t>
      </w:r>
      <w:r>
        <w:rPr>
          <w:rFonts w:hint="eastAsia" w:asciiTheme="minorEastAsia" w:hAnsiTheme="minorEastAsia" w:eastAsiaTheme="minorEastAsia" w:cstheme="minorEastAsia"/>
          <w:sz w:val="28"/>
          <w:szCs w:val="28"/>
          <w:shd w:val="clear" w:color="auto" w:fill="FFFFFF"/>
        </w:rPr>
        <w:t>%，得0分。</w:t>
      </w:r>
    </w:p>
    <w:p>
      <w:pPr>
        <w:pStyle w:val="3"/>
        <w:shd w:val="clear" w:color="auto" w:fill="FFFFFF"/>
        <w:spacing w:before="0" w:beforeAutospacing="0" w:after="0" w:afterAutospacing="0" w:line="500"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（2）预算管理得16分。管理制度健全，得8分；资金使用符合规定，得8分。</w:t>
      </w:r>
    </w:p>
    <w:p>
      <w:pPr>
        <w:pStyle w:val="3"/>
        <w:shd w:val="clear" w:color="auto" w:fill="FFFFFF"/>
        <w:spacing w:before="0" w:beforeAutospacing="0" w:after="0" w:afterAutospacing="0" w:line="500"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（3）预决算信息公开按规定内容在规定时限在市政府门户网站公开，基础信息完善，得16分。</w:t>
      </w:r>
    </w:p>
    <w:p>
      <w:pPr>
        <w:pStyle w:val="3"/>
        <w:shd w:val="clear" w:color="auto" w:fill="FFFFFF"/>
        <w:spacing w:before="0" w:beforeAutospacing="0" w:after="0" w:afterAutospacing="0" w:line="500"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（4）资产管理得9分。资产管理制度健全，得3分；资产配置合理、保管完整、账实相符，不超标，手续规范齐全，得5分；固定资产利用率100%，得1分。</w:t>
      </w:r>
    </w:p>
    <w:p>
      <w:pPr>
        <w:pStyle w:val="3"/>
        <w:shd w:val="clear" w:color="auto" w:fill="FFFFFF"/>
        <w:spacing w:before="0" w:beforeAutospacing="0" w:after="0" w:afterAutospacing="0" w:line="5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auto" w:fill="FFFFFF"/>
        </w:rPr>
        <w:t>3 、产出及效率26分</w:t>
      </w:r>
    </w:p>
    <w:p>
      <w:pPr>
        <w:pStyle w:val="3"/>
        <w:shd w:val="clear" w:color="auto" w:fill="FFFFFF"/>
        <w:spacing w:before="0" w:beforeAutospacing="0" w:after="0" w:afterAutospacing="0" w:line="5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auto" w:fill="FFFFFF"/>
        </w:rPr>
        <w:t>（1）履职产出得8分。2022年我单位在全体干职工的共同努力下圆满出色完成了各项工作目标和任务。</w:t>
      </w:r>
    </w:p>
    <w:p>
      <w:pPr>
        <w:pStyle w:val="3"/>
        <w:numPr>
          <w:ilvl w:val="0"/>
          <w:numId w:val="4"/>
        </w:numPr>
        <w:shd w:val="clear" w:color="auto" w:fill="FFFFFF"/>
        <w:spacing w:before="0" w:beforeAutospacing="0" w:after="0" w:afterAutospacing="0" w:line="500"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履职效益得18分。我单位产出指标及效益指标得12分，社会公众或服务对象满意度得6分，我单位的各方面工作都得到社会大众或服务对象的肯定和好评。</w:t>
      </w:r>
    </w:p>
    <w:p>
      <w:pPr>
        <w:pStyle w:val="3"/>
        <w:shd w:val="clear" w:color="auto" w:fill="FFFFFF"/>
        <w:spacing w:before="0" w:beforeAutospacing="0" w:after="0" w:afterAutospacing="0" w:line="500" w:lineRule="exact"/>
        <w:ind w:firstLine="562" w:firstLineChars="200"/>
        <w:rPr>
          <w:rFonts w:asciiTheme="minorEastAsia" w:hAnsiTheme="minorEastAsia" w:eastAsiaTheme="minorEastAsia" w:cstheme="minorEastAsia"/>
          <w:b/>
          <w:bCs/>
          <w:sz w:val="28"/>
          <w:szCs w:val="28"/>
          <w:shd w:val="clear" w:color="auto" w:fill="FFFFFF"/>
        </w:rPr>
      </w:pPr>
      <w:r>
        <w:rPr>
          <w:rFonts w:hint="eastAsia" w:asciiTheme="minorEastAsia" w:hAnsiTheme="minorEastAsia" w:eastAsiaTheme="minorEastAsia" w:cstheme="minorEastAsia"/>
          <w:b/>
          <w:bCs/>
          <w:sz w:val="28"/>
          <w:szCs w:val="28"/>
          <w:shd w:val="clear" w:color="auto" w:fill="FFFFFF"/>
        </w:rPr>
        <w:t>三、存在的问题</w:t>
      </w:r>
    </w:p>
    <w:p>
      <w:pPr>
        <w:pStyle w:val="3"/>
        <w:shd w:val="clear" w:color="auto" w:fill="FFFFFF"/>
        <w:spacing w:before="0" w:beforeAutospacing="0" w:after="0" w:afterAutospacing="0" w:line="500"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预算编制不够明确和细化，预算编制的合理性需要提高，预算执行力度还要进一步加强。资金使用效益有待进一步提高，绩效目标设立不够明确、细化和量化。工作创新精神有待提高、缺乏主动性；学习抓的不够紧，思想认识不深刻、业务知识、法律意识还有待提高。</w:t>
      </w:r>
    </w:p>
    <w:p>
      <w:pPr>
        <w:pStyle w:val="3"/>
        <w:shd w:val="clear" w:color="auto" w:fill="FFFFFF"/>
        <w:spacing w:before="0" w:beforeAutospacing="0" w:after="0" w:afterAutospacing="0" w:line="500" w:lineRule="exact"/>
        <w:ind w:firstLine="562"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b/>
          <w:bCs/>
          <w:sz w:val="28"/>
          <w:szCs w:val="28"/>
          <w:shd w:val="clear" w:color="auto" w:fill="FFFFFF"/>
        </w:rPr>
        <w:t>四、建议和整改措施</w:t>
      </w:r>
    </w:p>
    <w:p>
      <w:pPr>
        <w:pStyle w:val="3"/>
        <w:shd w:val="clear" w:color="auto" w:fill="FFFFFF"/>
        <w:spacing w:before="0" w:beforeAutospacing="0" w:after="0" w:afterAutospacing="0" w:line="5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auto" w:fill="FFFFFF"/>
        </w:rPr>
        <w:t>1、进一步加强单位内部机构各股室的预算管理意识，严格按照预算编制的相关制度和要求进行预算编制，进一步提高预算编制的科学性、严谨性和可控性。</w:t>
      </w:r>
    </w:p>
    <w:p>
      <w:pPr>
        <w:pStyle w:val="3"/>
        <w:shd w:val="clear" w:color="auto" w:fill="FFFFFF"/>
        <w:spacing w:before="0" w:beforeAutospacing="0" w:after="0" w:afterAutospacing="0" w:line="5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auto" w:fill="FFFFFF"/>
        </w:rPr>
        <w:t>2、加强单位财务管理，健全单位财务管理制度体系，规范单位财务行为。在费用报账支付时，按照预算规定的费用项目和用途进行资金使用审核、列报支付、财务核算，杜绝超支现象的发生。</w:t>
      </w:r>
    </w:p>
    <w:p>
      <w:pPr>
        <w:pStyle w:val="3"/>
        <w:shd w:val="clear" w:color="auto" w:fill="FFFFFF"/>
        <w:spacing w:before="0" w:beforeAutospacing="0" w:after="0" w:afterAutospacing="0" w:line="500"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3、严格编制政府采购年初预算和计划，规范各类资产的购置审批制度、资产采购制度、使用管理制度、资产处置和报废审批制度、资产管理岗位职责制度等。严格控制“三公”经费的规模和比例，把关“三公”经费支出的审核、审批，进一步细化“三公”经费的管理，合理压缩“三公”经费支出。</w:t>
      </w:r>
    </w:p>
    <w:p>
      <w:pPr>
        <w:pStyle w:val="3"/>
        <w:shd w:val="clear" w:color="auto" w:fill="FFFFFF"/>
        <w:spacing w:before="0" w:beforeAutospacing="0" w:after="0" w:afterAutospacing="0" w:line="500" w:lineRule="exact"/>
        <w:ind w:firstLine="560" w:firstLineChars="200"/>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4、紧紧围绕全镇的工作思路，开拓创新，进一步加强业务理论学习、注重党性锻炼和修养、不断提高自身素质、继续强化提高工作能力、强化创新意识、找准工作突破口、全身心投入工作、不断开创我镇工作新局面。</w:t>
      </w:r>
    </w:p>
    <w:p>
      <w:pPr>
        <w:widowControl/>
        <w:shd w:val="clear" w:color="auto" w:fill="FFFFFF"/>
        <w:spacing w:line="500" w:lineRule="exact"/>
        <w:ind w:firstLine="560" w:firstLineChars="200"/>
        <w:jc w:val="left"/>
        <w:textAlignment w:val="baseline"/>
        <w:rPr>
          <w:rFonts w:asciiTheme="minorEastAsia" w:hAnsiTheme="minorEastAsia" w:cstheme="minorEastAsia"/>
          <w:kern w:val="0"/>
          <w:sz w:val="28"/>
          <w:szCs w:val="28"/>
        </w:rPr>
      </w:pPr>
      <w:r>
        <w:rPr>
          <w:rFonts w:hint="eastAsia" w:asciiTheme="minorEastAsia" w:hAnsiTheme="minorEastAsia" w:cstheme="minorEastAsia"/>
          <w:kern w:val="0"/>
          <w:sz w:val="28"/>
          <w:szCs w:val="28"/>
        </w:rPr>
        <w:t> </w:t>
      </w:r>
    </w:p>
    <w:p>
      <w:pPr>
        <w:widowControl/>
        <w:shd w:val="clear" w:color="auto" w:fill="FFFFFF"/>
        <w:spacing w:line="500" w:lineRule="exact"/>
        <w:ind w:firstLine="560" w:firstLineChars="200"/>
        <w:jc w:val="left"/>
        <w:textAlignment w:val="baseline"/>
        <w:rPr>
          <w:rFonts w:asciiTheme="minorEastAsia" w:hAnsiTheme="minorEastAsia" w:cstheme="minorEastAsia"/>
          <w:kern w:val="0"/>
          <w:sz w:val="28"/>
          <w:szCs w:val="28"/>
        </w:rPr>
      </w:pPr>
    </w:p>
    <w:p>
      <w:pPr>
        <w:widowControl/>
        <w:shd w:val="clear" w:color="auto" w:fill="FFFFFF"/>
        <w:spacing w:line="500" w:lineRule="exact"/>
        <w:ind w:firstLine="5040" w:firstLineChars="1800"/>
        <w:jc w:val="left"/>
        <w:textAlignment w:val="baseline"/>
        <w:rPr>
          <w:rFonts w:asciiTheme="minorEastAsia" w:hAnsiTheme="minorEastAsia" w:cstheme="minorEastAsia"/>
          <w:kern w:val="0"/>
          <w:sz w:val="28"/>
          <w:szCs w:val="28"/>
        </w:rPr>
      </w:pPr>
      <w:r>
        <w:rPr>
          <w:rFonts w:hint="eastAsia" w:asciiTheme="minorEastAsia" w:hAnsiTheme="minorEastAsia" w:cstheme="minorEastAsia"/>
          <w:kern w:val="0"/>
          <w:sz w:val="28"/>
          <w:szCs w:val="28"/>
        </w:rPr>
        <w:t>道林镇人民政府</w:t>
      </w:r>
    </w:p>
    <w:p>
      <w:pPr>
        <w:widowControl/>
        <w:shd w:val="clear" w:color="auto" w:fill="FFFFFF"/>
        <w:spacing w:line="500" w:lineRule="exact"/>
        <w:ind w:firstLine="5040" w:firstLineChars="1800"/>
        <w:jc w:val="left"/>
        <w:textAlignment w:val="baseline"/>
        <w:rPr>
          <w:rFonts w:asciiTheme="minorEastAsia" w:hAnsiTheme="minorEastAsia" w:cstheme="minorEastAsia"/>
          <w:kern w:val="0"/>
          <w:sz w:val="28"/>
          <w:szCs w:val="28"/>
        </w:rPr>
      </w:pPr>
      <w:r>
        <w:rPr>
          <w:rFonts w:hint="eastAsia" w:asciiTheme="minorEastAsia" w:hAnsiTheme="minorEastAsia" w:cstheme="minorEastAsia"/>
          <w:kern w:val="0"/>
          <w:sz w:val="28"/>
          <w:szCs w:val="28"/>
        </w:rPr>
        <w:t>2023年3月29日</w:t>
      </w:r>
    </w:p>
    <w:p>
      <w:pPr>
        <w:spacing w:line="500" w:lineRule="exact"/>
        <w:ind w:firstLine="560" w:firstLineChars="200"/>
        <w:rPr>
          <w:rFonts w:asciiTheme="minorEastAsia" w:hAnsi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8483E0"/>
    <w:multiLevelType w:val="singleLevel"/>
    <w:tmpl w:val="908483E0"/>
    <w:lvl w:ilvl="0" w:tentative="0">
      <w:start w:val="4"/>
      <w:numFmt w:val="chineseCounting"/>
      <w:suff w:val="nothing"/>
      <w:lvlText w:val="（%1）"/>
      <w:lvlJc w:val="left"/>
      <w:rPr>
        <w:rFonts w:hint="eastAsia"/>
      </w:rPr>
    </w:lvl>
  </w:abstractNum>
  <w:abstractNum w:abstractNumId="1">
    <w:nsid w:val="927222CE"/>
    <w:multiLevelType w:val="singleLevel"/>
    <w:tmpl w:val="927222CE"/>
    <w:lvl w:ilvl="0" w:tentative="0">
      <w:start w:val="1"/>
      <w:numFmt w:val="chineseCounting"/>
      <w:suff w:val="nothing"/>
      <w:lvlText w:val="%1、"/>
      <w:lvlJc w:val="left"/>
      <w:rPr>
        <w:rFonts w:hint="eastAsia"/>
      </w:rPr>
    </w:lvl>
  </w:abstractNum>
  <w:abstractNum w:abstractNumId="2">
    <w:nsid w:val="3F440155"/>
    <w:multiLevelType w:val="singleLevel"/>
    <w:tmpl w:val="3F440155"/>
    <w:lvl w:ilvl="0" w:tentative="0">
      <w:start w:val="2"/>
      <w:numFmt w:val="decimal"/>
      <w:suff w:val="nothing"/>
      <w:lvlText w:val="（%1）"/>
      <w:lvlJc w:val="left"/>
    </w:lvl>
  </w:abstractNum>
  <w:abstractNum w:abstractNumId="3">
    <w:nsid w:val="4F31E5FD"/>
    <w:multiLevelType w:val="singleLevel"/>
    <w:tmpl w:val="4F31E5FD"/>
    <w:lvl w:ilvl="0" w:tentative="0">
      <w:start w:val="1"/>
      <w:numFmt w:val="decimal"/>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YwN2JjN2RmZjIwYTc2MmMxODQyZDQ5MDFiMDhlM2MifQ=="/>
  </w:docVars>
  <w:rsids>
    <w:rsidRoot w:val="002B0B7F"/>
    <w:rsid w:val="000A44EB"/>
    <w:rsid w:val="000B5A27"/>
    <w:rsid w:val="00125801"/>
    <w:rsid w:val="002B0B7F"/>
    <w:rsid w:val="00316283"/>
    <w:rsid w:val="00431E54"/>
    <w:rsid w:val="004E530E"/>
    <w:rsid w:val="008E6B7B"/>
    <w:rsid w:val="00C1789D"/>
    <w:rsid w:val="00C20C22"/>
    <w:rsid w:val="00CB0B64"/>
    <w:rsid w:val="00D31875"/>
    <w:rsid w:val="00DA7D34"/>
    <w:rsid w:val="0C944D87"/>
    <w:rsid w:val="0C9E62AE"/>
    <w:rsid w:val="13534EB0"/>
    <w:rsid w:val="146C5DF9"/>
    <w:rsid w:val="15E0188B"/>
    <w:rsid w:val="18D475F8"/>
    <w:rsid w:val="18FE29CF"/>
    <w:rsid w:val="1E4242FF"/>
    <w:rsid w:val="25A13C8B"/>
    <w:rsid w:val="262E253A"/>
    <w:rsid w:val="3D8841AB"/>
    <w:rsid w:val="433A3F4B"/>
    <w:rsid w:val="4FA34005"/>
    <w:rsid w:val="50E772C9"/>
    <w:rsid w:val="59C13B92"/>
    <w:rsid w:val="5DD533DF"/>
    <w:rsid w:val="5E9349AC"/>
    <w:rsid w:val="63660ED6"/>
    <w:rsid w:val="65241484"/>
    <w:rsid w:val="6AF32BAA"/>
    <w:rsid w:val="734A001E"/>
    <w:rsid w:val="7D5A1CFD"/>
    <w:rsid w:val="7E902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7">
    <w:name w:val="标题 2 Char"/>
    <w:basedOn w:val="5"/>
    <w:link w:val="2"/>
    <w:qFormat/>
    <w:uiPriority w:val="9"/>
    <w:rPr>
      <w:rFonts w:ascii="宋体" w:hAnsi="宋体" w:eastAsia="宋体" w:cs="宋体"/>
      <w:b/>
      <w:bCs/>
      <w:kern w:val="0"/>
      <w:sz w:val="36"/>
      <w:szCs w:val="36"/>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4747</Words>
  <Characters>5178</Characters>
  <Lines>37</Lines>
  <Paragraphs>10</Paragraphs>
  <TotalTime>143</TotalTime>
  <ScaleCrop>false</ScaleCrop>
  <LinksUpToDate>false</LinksUpToDate>
  <CharactersWithSpaces>5182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2022-03-24T01:47:00Z</dcterms:created>
  <dc:creator>Administrator</dc:creator>
  <cp:lastModifiedBy>嘉</cp:lastModifiedBy>
  <cp:lastPrinted>2023-03-30T08:52:00Z</cp:lastPrinted>
  <dcterms:modified xsi:type="dcterms:W3CDTF">2023-09-15T05:04:33Z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F52A0C6299F143C6A909F636C70A64E8</vt:lpwstr>
  </property>
</Properties>
</file>