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left="91"/>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宁乡市工业和信息化局</w:t>
      </w:r>
    </w:p>
    <w:p>
      <w:pPr>
        <w:widowControl/>
        <w:spacing w:line="600" w:lineRule="exact"/>
        <w:ind w:left="91"/>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2022年部门整体支出绩效自评报告</w:t>
      </w:r>
    </w:p>
    <w:p>
      <w:pPr>
        <w:spacing w:line="600" w:lineRule="exact"/>
        <w:jc w:val="left"/>
        <w:rPr>
          <w:rFonts w:asciiTheme="minorEastAsia" w:hAnsiTheme="minorEastAsia" w:eastAsiaTheme="minorEastAsia"/>
          <w:sz w:val="28"/>
          <w:szCs w:val="28"/>
        </w:rPr>
      </w:pPr>
    </w:p>
    <w:p>
      <w:pPr>
        <w:snapToGrid w:val="0"/>
        <w:spacing w:line="600" w:lineRule="atLeast"/>
        <w:ind w:firstLine="640" w:firstLineChars="200"/>
        <w:rPr>
          <w:rFonts w:ascii="黑体" w:hAnsi="黑体" w:eastAsia="黑体" w:cs="黑体"/>
          <w:sz w:val="32"/>
          <w:szCs w:val="32"/>
        </w:rPr>
      </w:pPr>
      <w:r>
        <w:rPr>
          <w:rFonts w:hint="eastAsia" w:ascii="黑体" w:hAnsi="黑体" w:eastAsia="黑体" w:cs="黑体"/>
          <w:sz w:val="32"/>
          <w:szCs w:val="32"/>
        </w:rPr>
        <w:t>一、部门概况</w:t>
      </w:r>
    </w:p>
    <w:p>
      <w:pPr>
        <w:snapToGrid w:val="0"/>
        <w:spacing w:line="600" w:lineRule="atLeas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（一）部门基本情况。</w:t>
      </w:r>
    </w:p>
    <w:p>
      <w:pPr>
        <w:autoSpaceDE w:val="0"/>
        <w:autoSpaceDN w:val="0"/>
        <w:adjustRightInd w:val="0"/>
        <w:snapToGrid w:val="0"/>
        <w:spacing w:line="600" w:lineRule="atLeast"/>
        <w:ind w:firstLine="643" w:firstLineChars="200"/>
        <w:rPr>
          <w:rFonts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1、职能职责</w:t>
      </w:r>
    </w:p>
    <w:p>
      <w:pPr>
        <w:pStyle w:val="9"/>
        <w:snapToGrid w:val="0"/>
        <w:spacing w:before="0" w:beforeAutospacing="0" w:after="0" w:afterAutospacing="0" w:line="60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1）拟订全市工业和信息化领域的发展战略、规划和相关政策措施并组织实施，协调解决有关重大问题；承担综合管理全市工业经济责任；推进信息化与工业化深度融合，促进工业企业数字化、网络化、智能化。</w:t>
      </w:r>
    </w:p>
    <w:p>
      <w:pPr>
        <w:pStyle w:val="9"/>
        <w:snapToGrid w:val="0"/>
        <w:spacing w:before="0" w:beforeAutospacing="0" w:after="0" w:afterAutospacing="0" w:line="60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2）负责全市工业经济日常运行调节和市场开拓工作；制定并组织实施工业经济运行调控目标、政策和措施；监测分析工业经济运行态势，协调解决经济运行中的突出矛盾和问题并提出政策建议；负责工业和信息化领域的国防动员；指导全市工业园区和企业等职责范围内的安全生产工作，在行业发展规划、政策规范等方面统筹考虑安全工作。</w:t>
      </w:r>
    </w:p>
    <w:p>
      <w:pPr>
        <w:pStyle w:val="9"/>
        <w:snapToGrid w:val="0"/>
        <w:spacing w:before="0" w:beforeAutospacing="0" w:after="0" w:afterAutospacing="0" w:line="60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（3）拟订工业和信息化领域的规范性文件、草案并对执行情况进行监督检查；负责工业和信息化领域有关行政执法工作；组织协调减轻企业负担工作；配合做好维护企业稳定的相关工作。</w:t>
      </w:r>
    </w:p>
    <w:p>
      <w:pPr>
        <w:pStyle w:val="9"/>
        <w:snapToGrid w:val="0"/>
        <w:spacing w:before="0" w:beforeAutospacing="0" w:after="0" w:afterAutospacing="0" w:line="60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（4）研究提出工业和信息化领域固定资产投资规模和方向（含利用外资和境外投资）及国家、省、长沙市对口部门和本市工业和信息化领域的财政性建设资金安排建议，协调推进项目建设。</w:t>
      </w:r>
    </w:p>
    <w:p>
      <w:pPr>
        <w:pStyle w:val="9"/>
        <w:snapToGrid w:val="0"/>
        <w:spacing w:before="0" w:beforeAutospacing="0" w:after="0" w:afterAutospacing="0" w:line="60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5）负责全市工业和信息化领域技术创新、技术进步、企业创新体系建设和品牌建设工作；负责推进高新技术产业及战略性新兴产业发展；指导重大成套技术装备引进、消化吸收和再创新；负责推进产学研结合，指导科研成果产业化；负责指导相关行业加强质量管理和实施行业技术规范、标准工作；指导和协调推进工业创意产业发展。</w:t>
      </w:r>
    </w:p>
    <w:p>
      <w:pPr>
        <w:pStyle w:val="9"/>
        <w:snapToGrid w:val="0"/>
        <w:spacing w:before="0" w:beforeAutospacing="0" w:after="0" w:afterAutospacing="0" w:line="60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（6）承担全市工业园区的统一协调管理职责；研究提出促进工业园区发展的政策建议；负责协调工业园区项目建设、监测分析运行态势以及相关经济技术指标完成情况的考核工作。</w:t>
      </w:r>
    </w:p>
    <w:p>
      <w:pPr>
        <w:pStyle w:val="9"/>
        <w:snapToGrid w:val="0"/>
        <w:spacing w:before="0" w:beforeAutospacing="0" w:after="0" w:afterAutospacing="0" w:line="60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（7）研究提出促进全市中小企业发展的政策措施，协调解决重大问题；推进中小企业服务体系建设；负责小微企业创业相关服务工作。</w:t>
      </w:r>
    </w:p>
    <w:p>
      <w:pPr>
        <w:pStyle w:val="9"/>
        <w:snapToGrid w:val="0"/>
        <w:spacing w:before="0" w:beforeAutospacing="0" w:after="0" w:afterAutospacing="0" w:line="60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（8）负责工业和信息化领域能源节约、资源综合利用和自愿性清洁生产促进工作，参与协调工业环境保护；负责节能环保产业发展的综合协调工作。</w:t>
      </w:r>
    </w:p>
    <w:p>
      <w:pPr>
        <w:pStyle w:val="9"/>
        <w:snapToGrid w:val="0"/>
        <w:spacing w:before="0" w:beforeAutospacing="0" w:after="0" w:afterAutospacing="0" w:line="60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（9）承担全市电力行政管理和电力行政执法责任；负责煤炭、电力、石油、天然气和原材料等经济运行保障要素的综合协调工作。</w:t>
      </w:r>
    </w:p>
    <w:p>
      <w:pPr>
        <w:pStyle w:val="9"/>
        <w:snapToGrid w:val="0"/>
        <w:spacing w:before="0" w:beforeAutospacing="0" w:after="0" w:afterAutospacing="0" w:line="62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10）承担工业和信息化领域行业管理相关工作；拟订并组织实施工业和信息化发展专项规划、行业规划及行业政策，研究和规划全市工业产业投资布局；负责工业产业促进工作，引导产业结构调整，协调推进优势产业、优势产业集群和战略性新兴产业发展，指导淘汰落后产能工作；协调维护行业竞争秩序，依法组织实施相关行业的准入管理。</w:t>
      </w:r>
    </w:p>
    <w:p>
      <w:pPr>
        <w:pStyle w:val="9"/>
        <w:snapToGrid w:val="0"/>
        <w:spacing w:before="0" w:beforeAutospacing="0" w:after="0" w:afterAutospacing="0" w:line="62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（11）负责相关部门的军民融合协调，促进军民两用技术双向转移工作。</w:t>
      </w:r>
    </w:p>
    <w:p>
      <w:pPr>
        <w:pStyle w:val="9"/>
        <w:snapToGrid w:val="0"/>
        <w:spacing w:before="0" w:beforeAutospacing="0" w:after="0" w:afterAutospacing="0" w:line="62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（12）负责工业和信息产业市场分析、信息发布和市场开拓工作；负责组织推进工业生产性服务业发展，指导企业工业物流和服务外包工作，促进企业内部物流社会化。</w:t>
      </w:r>
    </w:p>
    <w:p>
      <w:pPr>
        <w:pStyle w:val="9"/>
        <w:snapToGrid w:val="0"/>
        <w:spacing w:before="0" w:beforeAutospacing="0" w:after="0" w:afterAutospacing="0" w:line="62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（13）负责全市工业领域信息化的统筹规划、指导协调和监督管理工作；组织推进信息产业发展；承担通信安全和应急通信协调工作；协调推进网络基础设施建设。</w:t>
      </w:r>
    </w:p>
    <w:p>
      <w:pPr>
        <w:pStyle w:val="9"/>
        <w:snapToGrid w:val="0"/>
        <w:spacing w:before="0" w:beforeAutospacing="0" w:after="0" w:afterAutospacing="0" w:line="62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（14）指导、协调全市工业和信息化领域人才开发与引进工作，组织开展人才和智力对外合作交流。</w:t>
      </w:r>
    </w:p>
    <w:p>
      <w:pPr>
        <w:pStyle w:val="9"/>
        <w:snapToGrid w:val="0"/>
        <w:spacing w:before="0" w:beforeAutospacing="0" w:after="0" w:afterAutospacing="0" w:line="62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（15）负责联系国网宁乡供电公司，以及中国电信、中国移动、中国联通、中国铁塔等通信部门驻宁机构。</w:t>
      </w:r>
    </w:p>
    <w:p>
      <w:pPr>
        <w:pStyle w:val="9"/>
        <w:snapToGrid w:val="0"/>
        <w:spacing w:before="0" w:beforeAutospacing="0" w:after="0" w:afterAutospacing="0" w:line="62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（16）负责本系统原国有、集体企业改制及相关历史遗留问题的处理。</w:t>
      </w:r>
    </w:p>
    <w:p>
      <w:pPr>
        <w:pStyle w:val="9"/>
        <w:snapToGrid w:val="0"/>
        <w:spacing w:before="0" w:beforeAutospacing="0" w:after="0" w:afterAutospacing="0" w:line="620" w:lineRule="atLeast"/>
        <w:ind w:firstLine="634"/>
        <w:rPr>
          <w:rFonts w:ascii="仿宋_GB2312" w:hAnsi="仿宋_GB2312" w:eastAsia="仿宋_GB2312" w:cs="仿宋_GB2312"/>
          <w:sz w:val="32"/>
          <w:szCs w:val="32"/>
        </w:rPr>
      </w:pPr>
      <w:r>
        <w:rPr>
          <w:rFonts w:hint="eastAsia" w:ascii="仿宋_GB2312" w:hAnsi="仿宋_GB2312" w:eastAsia="仿宋_GB2312" w:cs="仿宋_GB2312"/>
          <w:sz w:val="32"/>
          <w:szCs w:val="32"/>
        </w:rPr>
        <w:t>（17）完成市委、市政府交办的其他任务。</w:t>
      </w:r>
    </w:p>
    <w:p>
      <w:pPr>
        <w:autoSpaceDE w:val="0"/>
        <w:autoSpaceDN w:val="0"/>
        <w:adjustRightInd w:val="0"/>
        <w:snapToGrid w:val="0"/>
        <w:spacing w:line="620" w:lineRule="atLeast"/>
        <w:ind w:firstLine="643" w:firstLineChars="200"/>
        <w:rPr>
          <w:rFonts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2、机构设置</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40" w:lineRule="atLeast"/>
        <w:ind w:left="0" w:right="0" w:firstLine="600"/>
        <w:jc w:val="both"/>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我单位为全额拨款行政单位，</w:t>
      </w:r>
      <w:r>
        <w:rPr>
          <w:rFonts w:hint="eastAsia" w:ascii="仿宋_GB2312" w:hAnsi="仿宋_GB2312" w:eastAsia="仿宋_GB2312" w:cs="仿宋_GB2312"/>
          <w:kern w:val="2"/>
          <w:sz w:val="32"/>
          <w:szCs w:val="32"/>
          <w:lang w:val="en-US" w:eastAsia="zh-CN" w:bidi="ar-SA"/>
        </w:rPr>
        <w:t>宁乡市工业和信息化局内设机构包括：办公室、经济运行科、产业发展科、中小企业科、节能与信息化科、改制维稳科6个科室。行政编制23人，实有20人；机关行政工人编6人，实有6人；企业服务中心事业编制15人，实有15人；下属自收自支矿产服务中心事业编制6人，实有16人，离休干部1人，退休人员115人。</w:t>
      </w:r>
    </w:p>
    <w:p>
      <w:pPr>
        <w:autoSpaceDE w:val="0"/>
        <w:autoSpaceDN w:val="0"/>
        <w:adjustRightInd w:val="0"/>
        <w:snapToGrid w:val="0"/>
        <w:spacing w:line="600" w:lineRule="atLeast"/>
        <w:ind w:firstLine="643" w:firstLineChars="200"/>
        <w:rPr>
          <w:rFonts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3、2022年工作重点</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2022年，市工信局坚持高举“工业强市”大旗，围绕市委、市政府工作部署，不断筑牢实体经济根基，奋力打造国家先进制造业高地示范区，各项重点工作有序推进</w:t>
      </w:r>
      <w:r>
        <w:rPr>
          <w:rFonts w:hint="eastAsia" w:ascii="仿宋_GB2312" w:hAnsi="仿宋_GB2312" w:eastAsia="仿宋_GB2312" w:cs="仿宋_GB2312"/>
          <w:color w:val="000000"/>
          <w:sz w:val="32"/>
          <w:szCs w:val="32"/>
        </w:rPr>
        <w:t>。全年</w:t>
      </w:r>
      <w:r>
        <w:rPr>
          <w:rFonts w:hint="eastAsia" w:ascii="仿宋_GB2312" w:hAnsi="仿宋_GB2312" w:eastAsia="仿宋_GB2312" w:cs="仿宋_GB2312"/>
          <w:sz w:val="32"/>
          <w:szCs w:val="32"/>
        </w:rPr>
        <w:t>全市完成规模工业产值1740亿元，同比增长9.1%；完成规工增加值392亿元，同比增长7.1%，居长望浏宁第1；工业投资、工业技改分别同比增长15.2%、5.2%。规模工业企业完成税收42亿元，同比增长10.2%。</w:t>
      </w:r>
      <w:r>
        <w:rPr>
          <w:rFonts w:hint="eastAsia" w:ascii="仿宋_GB2312" w:hAnsi="仿宋_GB2312" w:eastAsia="仿宋_GB2312" w:cs="仿宋_GB2312"/>
          <w:bCs/>
          <w:kern w:val="0"/>
          <w:sz w:val="32"/>
          <w:szCs w:val="32"/>
        </w:rPr>
        <w:t>一是电力建设超前谋划，</w:t>
      </w:r>
      <w:r>
        <w:rPr>
          <w:rFonts w:hint="eastAsia" w:ascii="仿宋_GB2312" w:hAnsi="仿宋_GB2312" w:eastAsia="仿宋_GB2312" w:cs="仿宋_GB2312"/>
          <w:bCs/>
          <w:color w:val="000000"/>
          <w:sz w:val="32"/>
          <w:szCs w:val="32"/>
        </w:rPr>
        <w:t>做到电力建设提前规划、提前布局、提前建设，</w:t>
      </w:r>
      <w:r>
        <w:rPr>
          <w:rFonts w:hint="eastAsia" w:ascii="仿宋_GB2312" w:hAnsi="仿宋_GB2312" w:eastAsia="仿宋_GB2312" w:cs="仿宋_GB2312"/>
          <w:sz w:val="32"/>
          <w:szCs w:val="32"/>
        </w:rPr>
        <w:t>促成全民变、净塘变分别提前2个月、6个月竣工送电，有力保障了邦盛、星城石墨二期等重点项目用电需求。推进有序用电，提前掌握供电形势，指导企业提前应对，减少损失，迎峰度夏平稳度过，迎峰度冬有序推进。二是5G建设提速提档。及时解决5G建设的阻工、管道协调、电费压降等问题，保障建设提速，全年新建5G基站1334个，完成年度任务的103%，实现城区、园区、医院、学校、重点景区、重点企业的5G覆盖。三是管网改造实效明显。积极落实文明城市创建相关要求，组织移动、联通、电信和广电共投入近200万元，整修光缆5000多根,拆除废线约60万米,紧固吊线4万多米，着力破解“空中蜘蛛网”难题，市容市貌明显提升。</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（1）统筹推进安全与防疫，</w:t>
      </w:r>
      <w:r>
        <w:rPr>
          <w:rFonts w:hint="eastAsia" w:ascii="仿宋_GB2312" w:hAnsi="仿宋_GB2312" w:eastAsia="仿宋_GB2312" w:cs="仿宋_GB2312"/>
          <w:color w:val="000000"/>
          <w:sz w:val="32"/>
          <w:szCs w:val="32"/>
        </w:rPr>
        <w:t>一是推进安全生产工作，二是推进防疫物资采购。</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（2）加快推进新型基建，</w:t>
      </w:r>
      <w:r>
        <w:rPr>
          <w:rFonts w:hint="eastAsia" w:ascii="仿宋_GB2312" w:hAnsi="仿宋_GB2312" w:eastAsia="仿宋_GB2312" w:cs="仿宋_GB2312"/>
          <w:bCs/>
          <w:kern w:val="0"/>
          <w:sz w:val="32"/>
          <w:szCs w:val="32"/>
        </w:rPr>
        <w:t>一是电力建设超前谋划，</w:t>
      </w:r>
      <w:r>
        <w:rPr>
          <w:rFonts w:hint="eastAsia" w:ascii="仿宋_GB2312" w:hAnsi="仿宋_GB2312" w:eastAsia="仿宋_GB2312" w:cs="仿宋_GB2312"/>
          <w:sz w:val="32"/>
          <w:szCs w:val="32"/>
        </w:rPr>
        <w:t>二是5G建设提速提档，三是管网改造实效明显。</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（3）深入落实节能减排，一是加快绿色发展，二是加快淘汰落后产能。</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（4）全力维护系统稳定，</w:t>
      </w:r>
      <w:r>
        <w:rPr>
          <w:rFonts w:hint="eastAsia" w:ascii="仿宋_GB2312" w:hAnsi="仿宋_GB2312" w:eastAsia="仿宋_GB2312" w:cs="仿宋_GB2312"/>
          <w:color w:val="000000"/>
          <w:sz w:val="32"/>
          <w:szCs w:val="32"/>
        </w:rPr>
        <w:t>一是解决历史遗留问题，二是维护改制企业安全，三是做好信访维稳工作。</w:t>
      </w:r>
    </w:p>
    <w:p>
      <w:pPr>
        <w:snapToGrid w:val="0"/>
        <w:spacing w:line="600" w:lineRule="atLeas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（二）部门整体支出规模、使用方向和主要内容、涉及范围等</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2022年初预算1444.07万元，其中基本支出1206.07万元，项目支出238万元；决算执行基本支出1552.8</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万元，项目支出238万元。2022年度中央省市市对工业企业装备改造升级、智能制造的支持力度很大，对企业补贴资金达到 27129.8万元。</w:t>
      </w:r>
    </w:p>
    <w:p>
      <w:pPr>
        <w:snapToGrid w:val="0"/>
        <w:spacing w:line="600" w:lineRule="atLeast"/>
        <w:ind w:firstLine="627" w:firstLineChars="196"/>
        <w:rPr>
          <w:rFonts w:ascii="黑体" w:hAnsi="黑体" w:eastAsia="黑体" w:cs="黑体"/>
          <w:sz w:val="32"/>
          <w:szCs w:val="32"/>
        </w:rPr>
      </w:pPr>
      <w:r>
        <w:rPr>
          <w:rFonts w:hint="eastAsia" w:ascii="黑体" w:hAnsi="黑体" w:eastAsia="黑体" w:cs="黑体"/>
          <w:sz w:val="32"/>
          <w:szCs w:val="32"/>
        </w:rPr>
        <w:t>二、部门整体支出管理及使用情况</w:t>
      </w:r>
    </w:p>
    <w:p>
      <w:pPr>
        <w:snapToGrid w:val="0"/>
        <w:spacing w:line="600" w:lineRule="atLeas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（一）基本支出</w:t>
      </w:r>
    </w:p>
    <w:p>
      <w:pPr>
        <w:snapToGrid w:val="0"/>
        <w:spacing w:line="620" w:lineRule="atLeas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基本支出人员经费1452.7万元，主要为在职人员工资福利、社保缴费和单位离退休人员春节慰问、</w:t>
      </w:r>
      <w:r>
        <w:rPr>
          <w:rFonts w:hint="eastAsia" w:ascii="仿宋_GB2312" w:hAnsi="仿宋_GB2312" w:eastAsia="仿宋_GB2312" w:cs="仿宋_GB2312"/>
          <w:sz w:val="32"/>
          <w:szCs w:val="32"/>
          <w:lang w:eastAsia="zh-CN"/>
        </w:rPr>
        <w:t>奖励性补贴</w:t>
      </w:r>
      <w:r>
        <w:rPr>
          <w:rFonts w:hint="eastAsia" w:ascii="仿宋_GB2312" w:hAnsi="仿宋_GB2312" w:eastAsia="仿宋_GB2312" w:cs="仿宋_GB2312"/>
          <w:sz w:val="32"/>
          <w:szCs w:val="32"/>
        </w:rPr>
        <w:t>等费用;商品和服务支出100.1万元。2022年度共发生三公经费支出7.19万元，无公务用车支出无因公出国费用，发生公务接待费用7.19万元。</w:t>
      </w:r>
    </w:p>
    <w:p>
      <w:pPr>
        <w:snapToGrid w:val="0"/>
        <w:spacing w:line="620" w:lineRule="atLeas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（二）项目支出</w:t>
      </w:r>
    </w:p>
    <w:p>
      <w:pPr>
        <w:pStyle w:val="9"/>
        <w:snapToGrid w:val="0"/>
        <w:spacing w:before="0" w:beforeAutospacing="0" w:after="0" w:afterAutospacing="0" w:line="620" w:lineRule="atLeas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1、项目资金主要为工业信息业务经费85万元，主要用于离退休干部、自收自支人员、伤残军人医药费、电力设施维护、扶贫工作、党建等方面；产业链建设经费100万，主要用于发展工业及产业链建设工作经费；智慧园区建设53万，主要用于智慧园区产业展示。</w:t>
      </w:r>
    </w:p>
    <w:p>
      <w:pPr>
        <w:snapToGrid w:val="0"/>
        <w:spacing w:line="6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2、项目资金纳入财政预算管理，实行国库集中支付制度。</w:t>
      </w:r>
    </w:p>
    <w:p>
      <w:pPr>
        <w:snapToGrid w:val="0"/>
        <w:spacing w:line="620" w:lineRule="atLeast"/>
        <w:ind w:firstLine="640" w:firstLineChars="200"/>
        <w:rPr>
          <w:rFonts w:ascii="黑体" w:hAnsi="黑体" w:eastAsia="黑体" w:cs="黑体"/>
          <w:sz w:val="32"/>
          <w:szCs w:val="32"/>
        </w:rPr>
      </w:pPr>
      <w:r>
        <w:rPr>
          <w:rFonts w:hint="eastAsia" w:ascii="黑体" w:hAnsi="黑体" w:eastAsia="黑体" w:cs="黑体"/>
          <w:sz w:val="32"/>
          <w:szCs w:val="32"/>
        </w:rPr>
        <w:t>三、部门项目组织实施情况</w:t>
      </w:r>
    </w:p>
    <w:p>
      <w:pPr>
        <w:snapToGrid w:val="0"/>
        <w:spacing w:line="620" w:lineRule="atLeast"/>
        <w:ind w:firstLine="630" w:firstLineChars="196"/>
        <w:rPr>
          <w:rFonts w:ascii="仿宋_GB2312" w:hAnsi="仿宋_GB2312" w:eastAsia="仿宋_GB2312" w:cs="仿宋_GB2312"/>
          <w:sz w:val="32"/>
          <w:szCs w:val="32"/>
        </w:rPr>
      </w:pPr>
      <w:r>
        <w:rPr>
          <w:rFonts w:hint="eastAsia" w:ascii="楷体_GB2312" w:hAnsi="楷体_GB2312" w:eastAsia="楷体_GB2312" w:cs="楷体_GB2312"/>
          <w:b/>
          <w:sz w:val="32"/>
          <w:szCs w:val="32"/>
        </w:rPr>
        <w:t>（一）</w:t>
      </w:r>
      <w:r>
        <w:rPr>
          <w:rFonts w:hint="eastAsia" w:ascii="仿宋_GB2312" w:hAnsi="仿宋_GB2312" w:eastAsia="仿宋_GB2312" w:cs="仿宋_GB2312"/>
          <w:sz w:val="32"/>
          <w:szCs w:val="32"/>
        </w:rPr>
        <w:t>项目资金为弥补系统人员经费、工作经费不足的经常性支出。做到专款专用，为落实政策，依规解决老干、自收自支人员、乡村振兴等经费；对购买商品、劳务、服务按照政府采购的要求对资金进行管理。</w:t>
      </w:r>
    </w:p>
    <w:p>
      <w:pPr>
        <w:snapToGrid w:val="0"/>
        <w:spacing w:line="620" w:lineRule="atLeast"/>
        <w:ind w:firstLine="630" w:firstLineChars="196"/>
        <w:rPr>
          <w:rFonts w:ascii="仿宋_GB2312" w:hAnsi="仿宋_GB2312" w:eastAsia="仿宋_GB2312" w:cs="仿宋_GB2312"/>
          <w:sz w:val="32"/>
          <w:szCs w:val="32"/>
        </w:rPr>
      </w:pPr>
      <w:r>
        <w:rPr>
          <w:rFonts w:hint="eastAsia" w:ascii="楷体_GB2312" w:hAnsi="楷体_GB2312" w:eastAsia="楷体_GB2312" w:cs="楷体_GB2312"/>
          <w:b/>
          <w:sz w:val="32"/>
          <w:szCs w:val="32"/>
        </w:rPr>
        <w:t>（二）</w:t>
      </w:r>
      <w:r>
        <w:rPr>
          <w:rFonts w:hint="eastAsia" w:ascii="仿宋_GB2312" w:hAnsi="仿宋_GB2312" w:eastAsia="仿宋_GB2312" w:cs="仿宋_GB2312"/>
          <w:sz w:val="32"/>
          <w:szCs w:val="32"/>
        </w:rPr>
        <w:t>项目资金由财务科按照财务管理制度统一使用。</w:t>
      </w:r>
    </w:p>
    <w:p>
      <w:pPr>
        <w:snapToGrid w:val="0"/>
        <w:spacing w:line="620" w:lineRule="atLeast"/>
        <w:ind w:firstLine="627" w:firstLineChars="196"/>
        <w:rPr>
          <w:rFonts w:ascii="黑体" w:hAnsi="黑体" w:eastAsia="黑体" w:cs="黑体"/>
          <w:sz w:val="32"/>
          <w:szCs w:val="32"/>
        </w:rPr>
      </w:pPr>
      <w:r>
        <w:rPr>
          <w:rFonts w:hint="eastAsia" w:ascii="黑体" w:hAnsi="黑体" w:eastAsia="黑体" w:cs="黑体"/>
          <w:sz w:val="32"/>
          <w:szCs w:val="32"/>
        </w:rPr>
        <w:t>四、资产管理情况</w:t>
      </w:r>
    </w:p>
    <w:p>
      <w:pPr>
        <w:snapToGrid w:val="0"/>
        <w:spacing w:line="6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年初编制资产购置年度预算；资产购置和处置由局党组决定，履行政府采购手续，手续完整；资产配置合理、保管完整，账实相符的。</w:t>
      </w:r>
    </w:p>
    <w:p>
      <w:pPr>
        <w:snapToGrid w:val="0"/>
        <w:spacing w:line="620" w:lineRule="atLeast"/>
        <w:ind w:firstLine="627" w:firstLineChars="196"/>
        <w:rPr>
          <w:rFonts w:ascii="黑体" w:hAnsi="黑体" w:eastAsia="黑体" w:cs="黑体"/>
          <w:sz w:val="32"/>
          <w:szCs w:val="32"/>
        </w:rPr>
      </w:pPr>
      <w:r>
        <w:rPr>
          <w:rFonts w:hint="eastAsia" w:ascii="黑体" w:hAnsi="黑体" w:eastAsia="黑体" w:cs="黑体"/>
          <w:sz w:val="32"/>
          <w:szCs w:val="32"/>
        </w:rPr>
        <w:t>五、部门整体支出绩效情况</w:t>
      </w:r>
    </w:p>
    <w:p>
      <w:pPr>
        <w:snapToGrid w:val="0"/>
        <w:spacing w:line="600" w:lineRule="atLeast"/>
        <w:ind w:firstLine="627" w:firstLineChars="196"/>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部门整体支出的经济性良好，绩效得分85.5,厉行节约，完成了一般性支出缩减10%的目标；按时足额拨付各项资金，较好的完成了单位的各项目标任务；确保工业经济总量稳中有升，信息化建设加速推进，系统大局平安稳定，机关建设质效提升。因为人员、项目具有稳定性，所以项目资金具有持续性。</w:t>
      </w:r>
    </w:p>
    <w:p>
      <w:pPr>
        <w:snapToGrid w:val="0"/>
        <w:spacing w:line="600" w:lineRule="atLeast"/>
        <w:ind w:firstLine="627" w:firstLineChars="196"/>
        <w:rPr>
          <w:rFonts w:ascii="黑体" w:hAnsi="黑体" w:eastAsia="黑体" w:cs="黑体"/>
          <w:sz w:val="32"/>
          <w:szCs w:val="32"/>
        </w:rPr>
      </w:pPr>
      <w:r>
        <w:rPr>
          <w:rFonts w:hint="eastAsia" w:ascii="黑体" w:hAnsi="黑体" w:eastAsia="黑体" w:cs="黑体"/>
          <w:sz w:val="32"/>
          <w:szCs w:val="32"/>
        </w:rPr>
        <w:t>六、存在的主要问题</w:t>
      </w:r>
    </w:p>
    <w:p>
      <w:pPr>
        <w:snapToGrid w:val="0"/>
        <w:spacing w:line="600" w:lineRule="atLeas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存在预算资金功能科目与支出需求不一致的情况；需要进一步提高预算编制有效性，严格各项报销支付手续，提高资金使用效益。</w:t>
      </w:r>
    </w:p>
    <w:p>
      <w:pPr>
        <w:snapToGrid w:val="0"/>
        <w:spacing w:line="600" w:lineRule="atLeast"/>
        <w:ind w:firstLine="627" w:firstLineChars="196"/>
        <w:rPr>
          <w:rFonts w:ascii="黑体" w:hAnsi="黑体" w:eastAsia="黑体" w:cs="黑体"/>
          <w:sz w:val="32"/>
          <w:szCs w:val="32"/>
        </w:rPr>
      </w:pPr>
      <w:r>
        <w:rPr>
          <w:rFonts w:hint="eastAsia" w:ascii="黑体" w:hAnsi="黑体" w:eastAsia="黑体" w:cs="黑体"/>
          <w:sz w:val="32"/>
          <w:szCs w:val="32"/>
        </w:rPr>
        <w:t>七、改进措施和有关建议</w:t>
      </w:r>
    </w:p>
    <w:p>
      <w:pPr>
        <w:snapToGrid w:val="0"/>
        <w:spacing w:line="600" w:lineRule="atLeast"/>
        <w:ind w:firstLine="627" w:firstLineChars="196"/>
        <w:rPr>
          <w:rFonts w:asciiTheme="minorEastAsia" w:hAnsiTheme="minorEastAsia" w:eastAsiaTheme="minorEastAsia"/>
          <w:sz w:val="28"/>
          <w:szCs w:val="28"/>
        </w:rPr>
      </w:pPr>
      <w:r>
        <w:rPr>
          <w:rFonts w:hint="eastAsia" w:ascii="仿宋_GB2312" w:hAnsi="仿宋_GB2312" w:eastAsia="仿宋_GB2312" w:cs="仿宋_GB2312"/>
          <w:sz w:val="32"/>
          <w:szCs w:val="32"/>
        </w:rPr>
        <w:t>预算编制时根据项目和经济科目仔细选择功能科目；要求业务发生后尽快办理款项支付手续。</w:t>
      </w:r>
    </w:p>
    <w:p>
      <w:pPr>
        <w:spacing w:line="600" w:lineRule="exact"/>
        <w:rPr>
          <w:rFonts w:asciiTheme="minorEastAsia" w:hAnsiTheme="minorEastAsia" w:eastAsiaTheme="minorEastAsia"/>
          <w:sz w:val="28"/>
          <w:szCs w:val="28"/>
        </w:rPr>
      </w:pPr>
    </w:p>
    <w:p>
      <w:pPr>
        <w:spacing w:line="600" w:lineRule="exact"/>
        <w:rPr>
          <w:rFonts w:asciiTheme="minorEastAsia" w:hAnsiTheme="minorEastAsia" w:eastAsiaTheme="minorEastAsia"/>
          <w:sz w:val="28"/>
          <w:szCs w:val="28"/>
        </w:rPr>
      </w:pPr>
    </w:p>
    <w:p>
      <w:pPr>
        <w:spacing w:line="600" w:lineRule="exact"/>
        <w:rPr>
          <w:rFonts w:asciiTheme="minorEastAsia" w:hAnsiTheme="minorEastAsia" w:eastAsiaTheme="minorEastAsia"/>
          <w:sz w:val="28"/>
          <w:szCs w:val="28"/>
        </w:rPr>
      </w:pPr>
    </w:p>
    <w:p>
      <w:pPr>
        <w:spacing w:line="600" w:lineRule="exact"/>
        <w:rPr>
          <w:rFonts w:asciiTheme="minorEastAsia" w:hAnsiTheme="minorEastAsia" w:eastAsiaTheme="minorEastAsia"/>
          <w:sz w:val="28"/>
          <w:szCs w:val="28"/>
        </w:rPr>
      </w:pPr>
    </w:p>
    <w:p>
      <w:pPr>
        <w:spacing w:line="600" w:lineRule="exact"/>
        <w:rPr>
          <w:rFonts w:asciiTheme="minorEastAsia" w:hAnsiTheme="minorEastAsia" w:eastAsiaTheme="minorEastAsia"/>
          <w:sz w:val="28"/>
          <w:szCs w:val="28"/>
        </w:rPr>
      </w:pPr>
    </w:p>
    <w:p>
      <w:pPr>
        <w:spacing w:line="600" w:lineRule="exact"/>
        <w:rPr>
          <w:rFonts w:asciiTheme="minorEastAsia" w:hAnsiTheme="minorEastAsia" w:eastAsiaTheme="minorEastAsia"/>
          <w:sz w:val="28"/>
          <w:szCs w:val="28"/>
        </w:rPr>
      </w:pPr>
    </w:p>
    <w:p>
      <w:pPr>
        <w:spacing w:line="600" w:lineRule="exact"/>
        <w:rPr>
          <w:rFonts w:asciiTheme="minorEastAsia" w:hAnsiTheme="minorEastAsia" w:eastAsiaTheme="minorEastAsia"/>
          <w:sz w:val="28"/>
          <w:szCs w:val="28"/>
        </w:rPr>
      </w:pPr>
    </w:p>
    <w:p>
      <w:pPr>
        <w:spacing w:line="600" w:lineRule="exact"/>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附件2-1</w:t>
      </w:r>
    </w:p>
    <w:p>
      <w:pPr>
        <w:spacing w:line="600" w:lineRule="exact"/>
        <w:jc w:val="center"/>
        <w:rPr>
          <w:rFonts w:hint="default" w:ascii="方正小标宋简体" w:hAnsi="方正小标宋简体" w:eastAsia="方正小标宋简体" w:cs="方正小标宋简体"/>
          <w:i w:val="0"/>
          <w:iCs w:val="0"/>
          <w:color w:val="000000"/>
          <w:kern w:val="0"/>
          <w:sz w:val="40"/>
          <w:szCs w:val="40"/>
          <w:u w:val="none"/>
          <w:lang w:val="en-US" w:eastAsia="zh-CN" w:bidi="ar"/>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部门整体支出绩效自评基础数据表</w:t>
      </w:r>
    </w:p>
    <w:p>
      <w:pPr>
        <w:spacing w:line="600" w:lineRule="exact"/>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default" w:ascii="楷体_GB2312" w:hAnsi="宋体" w:eastAsia="楷体_GB2312" w:cs="楷体_GB2312"/>
          <w:i w:val="0"/>
          <w:iCs w:val="0"/>
          <w:color w:val="000000"/>
          <w:kern w:val="0"/>
          <w:sz w:val="28"/>
          <w:szCs w:val="28"/>
          <w:u w:val="none"/>
          <w:lang w:val="en-US" w:eastAsia="zh-CN" w:bidi="ar"/>
        </w:rPr>
        <w:t>填报单位：宁乡市工业和信息化局</w:t>
      </w:r>
    </w:p>
    <w:tbl>
      <w:tblPr>
        <w:tblStyle w:val="5"/>
        <w:tblW w:w="95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51"/>
        <w:gridCol w:w="819"/>
        <w:gridCol w:w="1140"/>
        <w:gridCol w:w="1110"/>
        <w:gridCol w:w="1170"/>
        <w:gridCol w:w="121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财政供养人员情况</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编制数</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r>
              <w:rPr>
                <w:rStyle w:val="11"/>
                <w:lang w:val="en-US" w:eastAsia="zh-CN" w:bidi="ar"/>
              </w:rPr>
              <w:t>22</w:t>
            </w:r>
            <w:r>
              <w:rPr>
                <w:rStyle w:val="12"/>
                <w:lang w:val="en-US" w:eastAsia="zh-CN" w:bidi="ar"/>
              </w:rPr>
              <w:t>年实际在职人数</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cs="Times New Roman"/>
                <w:i w:val="0"/>
                <w:iCs w:val="0"/>
                <w:color w:val="000000"/>
                <w:kern w:val="0"/>
                <w:sz w:val="20"/>
                <w:szCs w:val="20"/>
                <w:u w:val="none"/>
                <w:lang w:val="en-US" w:eastAsia="zh-CN" w:bidi="ar"/>
              </w:rPr>
              <w:t>4</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107.3</w:t>
            </w:r>
            <w:r>
              <w:rPr>
                <w:rFonts w:hint="eastAsia" w:ascii="Times New Roman" w:hAnsi="Times New Roman" w:cs="Times New Roman"/>
                <w:i w:val="0"/>
                <w:iCs w:val="0"/>
                <w:color w:val="000000"/>
                <w:kern w:val="0"/>
                <w:sz w:val="20"/>
                <w:szCs w:val="20"/>
                <w:u w:val="none"/>
                <w:lang w:val="en-US" w:eastAsia="zh-CN" w:bidi="ar"/>
              </w:rPr>
              <w:t>2</w:t>
            </w:r>
            <w:bookmarkStart w:id="0" w:name="_GoBack"/>
            <w:bookmarkEnd w:id="0"/>
            <w:r>
              <w:rPr>
                <w:rFonts w:hint="default" w:ascii="Times New Roman" w:hAnsi="Times New Roman" w:eastAsia="宋体"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经费控制情况</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w:t>
            </w:r>
            <w:r>
              <w:rPr>
                <w:rStyle w:val="13"/>
                <w:lang w:val="en-US" w:eastAsia="zh-CN" w:bidi="ar"/>
              </w:rPr>
              <w:t>21年决算数</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w:t>
            </w:r>
            <w:r>
              <w:rPr>
                <w:rStyle w:val="13"/>
                <w:lang w:val="en-US" w:eastAsia="zh-CN" w:bidi="ar"/>
              </w:rPr>
              <w:t>22年预算数</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w:t>
            </w:r>
            <w:r>
              <w:rPr>
                <w:rStyle w:val="13"/>
                <w:lang w:val="en-US" w:eastAsia="zh-CN" w:bidi="ar"/>
              </w:rPr>
              <w:t>22年决算数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三公经费</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6020</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80000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71914.4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4"/>
                <w:rFonts w:eastAsia="宋体"/>
                <w:lang w:val="en-US" w:eastAsia="zh-CN" w:bidi="ar"/>
              </w:rPr>
              <w:t xml:space="preserve">   1</w:t>
            </w:r>
            <w:r>
              <w:rPr>
                <w:rStyle w:val="12"/>
                <w:lang w:val="en-US" w:eastAsia="zh-CN" w:bidi="ar"/>
              </w:rPr>
              <w:t>、公务用车购置和维护经费</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其中：公车购置</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公车运行维护</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4"/>
                <w:rFonts w:eastAsia="宋体"/>
                <w:lang w:val="en-US" w:eastAsia="zh-CN" w:bidi="ar"/>
              </w:rPr>
              <w:t xml:space="preserve">   2</w:t>
            </w:r>
            <w:r>
              <w:rPr>
                <w:rStyle w:val="12"/>
                <w:lang w:val="en-US" w:eastAsia="zh-CN" w:bidi="ar"/>
              </w:rPr>
              <w:t>、出国经费</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4"/>
                <w:rFonts w:eastAsia="宋体"/>
                <w:lang w:val="en-US" w:eastAsia="zh-CN" w:bidi="ar"/>
              </w:rPr>
              <w:t xml:space="preserve">   3</w:t>
            </w:r>
            <w:r>
              <w:rPr>
                <w:rStyle w:val="12"/>
                <w:lang w:val="en-US" w:eastAsia="zh-CN" w:bidi="ar"/>
              </w:rPr>
              <w:t>、公务接待</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6020</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80000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71914.4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项目支出：</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2040000</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2380000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4"/>
                <w:rFonts w:eastAsia="宋体"/>
                <w:lang w:val="en-US" w:eastAsia="zh-CN" w:bidi="ar"/>
              </w:rPr>
              <w:t xml:space="preserve">    1</w:t>
            </w:r>
            <w:r>
              <w:rPr>
                <w:rStyle w:val="12"/>
                <w:lang w:val="en-US" w:eastAsia="zh-CN" w:bidi="ar"/>
              </w:rPr>
              <w:t>、业务工作项目</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1040000</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1380000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4"/>
                <w:rFonts w:eastAsia="宋体"/>
                <w:lang w:val="en-US" w:eastAsia="zh-CN" w:bidi="ar"/>
              </w:rPr>
              <w:t xml:space="preserve">    2</w:t>
            </w:r>
            <w:r>
              <w:rPr>
                <w:rStyle w:val="12"/>
                <w:lang w:val="en-US" w:eastAsia="zh-CN" w:bidi="ar"/>
              </w:rPr>
              <w:t>、运行维护项目</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1000000</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1000000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公用经费</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1213746</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908400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其中：办公经费</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104285</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98233.6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水费、电费、差旅费</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5065</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20000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会议费、培训费</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7336</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30000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政府采购金额</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936268</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1000000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部门整体支出预算调整</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楼堂馆所控制情况</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批复规模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实际</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规模</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控制率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预算投资</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实际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投资概算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2"/>
                <w:lang w:val="en-US" w:eastAsia="zh-CN" w:bidi="ar"/>
              </w:rPr>
              <w:t>（</w:t>
            </w:r>
            <w:r>
              <w:rPr>
                <w:rStyle w:val="14"/>
                <w:rFonts w:eastAsia="宋体"/>
                <w:lang w:val="en-US" w:eastAsia="zh-CN" w:bidi="ar"/>
              </w:rPr>
              <w:t>20</w:t>
            </w:r>
            <w:r>
              <w:rPr>
                <w:rStyle w:val="12"/>
                <w:lang w:val="en-US" w:eastAsia="zh-CN" w:bidi="ar"/>
              </w:rPr>
              <w:t>22年完工项目）</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规模</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投资</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厉行节约保障措施</w:t>
            </w:r>
          </w:p>
        </w:tc>
        <w:tc>
          <w:tcPr>
            <w:tcW w:w="66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2"/>
                <w:lang w:val="en-US" w:eastAsia="zh-CN" w:bidi="ar"/>
              </w:rPr>
              <w:t>一般性支出缩减</w:t>
            </w:r>
            <w:r>
              <w:rPr>
                <w:rStyle w:val="14"/>
                <w:rFonts w:eastAsia="宋体"/>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59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r>
              <w:rPr>
                <w:rStyle w:val="14"/>
                <w:rFonts w:eastAsia="宋体"/>
                <w:lang w:val="en-US" w:eastAsia="zh-CN" w:bidi="ar"/>
              </w:rPr>
              <w:t>“</w:t>
            </w:r>
            <w:r>
              <w:rPr>
                <w:rStyle w:val="12"/>
                <w:lang w:val="en-US" w:eastAsia="zh-CN" w:bidi="ar"/>
              </w:rPr>
              <w:t>项目支出</w:t>
            </w:r>
            <w:r>
              <w:rPr>
                <w:rStyle w:val="14"/>
                <w:rFonts w:eastAsia="宋体"/>
                <w:lang w:val="en-US" w:eastAsia="zh-CN" w:bidi="ar"/>
              </w:rPr>
              <w:t>”</w:t>
            </w:r>
            <w:r>
              <w:rPr>
                <w:rStyle w:val="12"/>
                <w:lang w:val="en-US" w:eastAsia="zh-CN" w:bidi="ar"/>
              </w:rPr>
              <w:t>需要填报除公共项目资金和基本支出以外的所有项目情况，包括业务工作项目、运行维护项目等；</w:t>
            </w:r>
            <w:r>
              <w:rPr>
                <w:rStyle w:val="14"/>
                <w:rFonts w:eastAsia="宋体"/>
                <w:lang w:val="en-US" w:eastAsia="zh-CN" w:bidi="ar"/>
              </w:rPr>
              <w:t>“</w:t>
            </w:r>
            <w:r>
              <w:rPr>
                <w:rStyle w:val="12"/>
                <w:lang w:val="en-US" w:eastAsia="zh-CN" w:bidi="ar"/>
              </w:rPr>
              <w:t>公用经费</w:t>
            </w:r>
            <w:r>
              <w:rPr>
                <w:rStyle w:val="14"/>
                <w:rFonts w:eastAsia="宋体"/>
                <w:lang w:val="en-US" w:eastAsia="zh-CN" w:bidi="ar"/>
              </w:rPr>
              <w:t>”</w:t>
            </w:r>
            <w:r>
              <w:rPr>
                <w:rStyle w:val="12"/>
                <w:lang w:val="en-US" w:eastAsia="zh-CN" w:bidi="ar"/>
              </w:rPr>
              <w:t>填报基本支出中的一般商品和服务支出。</w:t>
            </w:r>
          </w:p>
        </w:tc>
      </w:tr>
    </w:tbl>
    <w:p>
      <w:pPr>
        <w:spacing w:line="600" w:lineRule="exact"/>
        <w:rPr>
          <w:rFonts w:asciiTheme="minorEastAsia" w:hAnsiTheme="minorEastAsia" w:eastAsiaTheme="minorEastAsia"/>
          <w:sz w:val="28"/>
          <w:szCs w:val="28"/>
        </w:rPr>
      </w:pPr>
      <w:r>
        <w:rPr>
          <w:rFonts w:hint="eastAsia" w:ascii="黑体" w:hAnsi="宋体" w:eastAsia="黑体" w:cs="黑体"/>
          <w:i w:val="0"/>
          <w:iCs w:val="0"/>
          <w:color w:val="000000"/>
          <w:kern w:val="0"/>
          <w:sz w:val="28"/>
          <w:szCs w:val="28"/>
          <w:u w:val="none"/>
          <w:lang w:val="en-US" w:eastAsia="zh-CN" w:bidi="ar"/>
        </w:rPr>
        <w:t>附件2-2</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方正小标宋简体" w:hAnsi="方正小标宋简体" w:eastAsia="方正小标宋简体" w:cs="方正小标宋简体"/>
          <w:i w:val="0"/>
          <w:iCs w:val="0"/>
          <w:color w:val="000000"/>
          <w:kern w:val="0"/>
          <w:sz w:val="40"/>
          <w:szCs w:val="40"/>
          <w:u w:val="none"/>
          <w:lang w:val="en-US" w:eastAsia="zh-CN" w:bidi="ar"/>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部门整体支出绩效自评共性指标表</w:t>
      </w:r>
    </w:p>
    <w:tbl>
      <w:tblPr>
        <w:tblStyle w:val="5"/>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00"/>
        <w:gridCol w:w="417"/>
        <w:gridCol w:w="465"/>
        <w:gridCol w:w="432"/>
        <w:gridCol w:w="742"/>
        <w:gridCol w:w="516"/>
        <w:gridCol w:w="3284"/>
        <w:gridCol w:w="27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blHeader/>
          <w:jc w:val="center"/>
        </w:trPr>
        <w:tc>
          <w:tcPr>
            <w:tcW w:w="5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ind w:left="-105" w:leftChars="-50" w:right="-105" w:rightChars="-5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一级指标</w:t>
            </w:r>
          </w:p>
        </w:tc>
        <w:tc>
          <w:tcPr>
            <w:tcW w:w="41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ind w:left="-105" w:leftChars="-50" w:right="-105" w:rightChars="-5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分值</w:t>
            </w:r>
          </w:p>
        </w:tc>
        <w:tc>
          <w:tcPr>
            <w:tcW w:w="4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ind w:left="-105" w:leftChars="-50" w:right="-105" w:rightChars="-5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二级指标</w:t>
            </w: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ind w:left="-105" w:leftChars="-50" w:right="-105" w:rightChars="-5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分值</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指标</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ind w:left="-105" w:leftChars="-50" w:right="-105" w:rightChars="-5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分值</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ind w:left="-105" w:leftChars="-50" w:right="-105" w:rightChars="-5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评价标准</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ind w:left="-105" w:leftChars="-50" w:right="-105" w:rightChars="-5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指标说明</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ind w:left="-105" w:leftChars="-50" w:right="-105" w:rightChars="-5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2" w:hRule="atLeast"/>
          <w:tblHeader/>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5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投入</w:t>
            </w:r>
          </w:p>
        </w:tc>
        <w:tc>
          <w:tcPr>
            <w:tcW w:w="41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4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目标设定</w:t>
            </w: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合理性</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①有目标，计</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w:t>
            </w:r>
            <w:r>
              <w:rPr>
                <w:rStyle w:val="15"/>
                <w:lang w:val="en-US" w:eastAsia="zh-CN" w:bidi="ar"/>
              </w:rPr>
              <w:br w:type="textWrapping"/>
            </w:r>
            <w:r>
              <w:rPr>
                <w:rStyle w:val="15"/>
                <w:lang w:val="en-US" w:eastAsia="zh-CN" w:bidi="ar"/>
              </w:rPr>
              <w:t>②目标明确，细化量化良好，个性指标中量化指标超过</w:t>
            </w:r>
            <w:r>
              <w:rPr>
                <w:rFonts w:hint="default" w:ascii="Times New Roman" w:hAnsi="Times New Roman" w:eastAsia="宋体" w:cs="Times New Roman"/>
                <w:i w:val="0"/>
                <w:iCs w:val="0"/>
                <w:color w:val="000000"/>
                <w:kern w:val="0"/>
                <w:sz w:val="20"/>
                <w:szCs w:val="20"/>
                <w:u w:val="none"/>
                <w:lang w:val="en-US" w:eastAsia="zh-CN" w:bidi="ar"/>
              </w:rPr>
              <w:t>3</w:t>
            </w:r>
            <w:r>
              <w:rPr>
                <w:rStyle w:val="15"/>
                <w:lang w:val="en-US" w:eastAsia="zh-CN" w:bidi="ar"/>
              </w:rPr>
              <w:t>个，计</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分，量化指标为</w:t>
            </w:r>
            <w:r>
              <w:rPr>
                <w:rFonts w:hint="default" w:ascii="Times New Roman" w:hAnsi="Times New Roman" w:eastAsia="宋体" w:cs="Times New Roman"/>
                <w:i w:val="0"/>
                <w:iCs w:val="0"/>
                <w:color w:val="000000"/>
                <w:kern w:val="0"/>
                <w:sz w:val="20"/>
                <w:szCs w:val="20"/>
                <w:u w:val="none"/>
                <w:lang w:val="en-US" w:eastAsia="zh-CN" w:bidi="ar"/>
              </w:rPr>
              <w:t>2</w:t>
            </w:r>
            <w:r>
              <w:rPr>
                <w:rStyle w:val="15"/>
                <w:lang w:val="en-US" w:eastAsia="zh-CN" w:bidi="ar"/>
              </w:rPr>
              <w:t>个，计</w:t>
            </w:r>
            <w:r>
              <w:rPr>
                <w:rFonts w:hint="default" w:ascii="Times New Roman" w:hAnsi="Times New Roman" w:eastAsia="宋体" w:cs="Times New Roman"/>
                <w:i w:val="0"/>
                <w:iCs w:val="0"/>
                <w:color w:val="000000"/>
                <w:kern w:val="0"/>
                <w:sz w:val="20"/>
                <w:szCs w:val="20"/>
                <w:u w:val="none"/>
                <w:lang w:val="en-US" w:eastAsia="zh-CN" w:bidi="ar"/>
              </w:rPr>
              <w:t>0.5</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t>2</w:t>
            </w:r>
            <w:r>
              <w:rPr>
                <w:rStyle w:val="15"/>
                <w:lang w:val="en-US" w:eastAsia="zh-CN" w:bidi="ar"/>
              </w:rPr>
              <w:t>个以下不计分；</w:t>
            </w:r>
            <w:r>
              <w:rPr>
                <w:rStyle w:val="15"/>
                <w:lang w:val="en-US" w:eastAsia="zh-CN" w:bidi="ar"/>
              </w:rPr>
              <w:br w:type="textWrapping"/>
            </w:r>
            <w:r>
              <w:rPr>
                <w:rStyle w:val="15"/>
                <w:lang w:val="en-US" w:eastAsia="zh-CN" w:bidi="ar"/>
              </w:rPr>
              <w:t>③与年度任务数或计划数相对应，计1分，未与年度任务数或计划数相对应，计0分；</w:t>
            </w:r>
            <w:r>
              <w:rPr>
                <w:rStyle w:val="15"/>
                <w:lang w:val="en-US" w:eastAsia="zh-CN" w:bidi="ar"/>
              </w:rPr>
              <w:br w:type="textWrapping"/>
            </w:r>
            <w:r>
              <w:rPr>
                <w:rStyle w:val="15"/>
                <w:lang w:val="en-US" w:eastAsia="zh-CN" w:bidi="ar"/>
              </w:rPr>
              <w:t>④目标与资金匹配良好，逻辑关系明确，计2分，存在明显错误和资金匹配性较差的计0分。</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依据绩效目标设定的绩效指标是否清晰、细化、可衡量等，用以反映和考核项目绩效目标的明细化情况。</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75"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预算配置</w:t>
            </w: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控制率</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以100%</w:t>
            </w:r>
            <w:r>
              <w:rPr>
                <w:rStyle w:val="15"/>
                <w:lang w:val="en-US" w:eastAsia="zh-CN" w:bidi="ar"/>
              </w:rPr>
              <w:t>为标准。在职人员控制率</w:t>
            </w:r>
            <w:r>
              <w:rPr>
                <w:rFonts w:hint="default" w:ascii="Times New Roman" w:hAnsi="Times New Roman" w:eastAsia="宋体" w:cs="Times New Roman"/>
                <w:i w:val="0"/>
                <w:iCs w:val="0"/>
                <w:color w:val="000000"/>
                <w:kern w:val="0"/>
                <w:sz w:val="20"/>
                <w:szCs w:val="20"/>
                <w:u w:val="none"/>
                <w:lang w:val="en-US" w:eastAsia="zh-CN" w:bidi="ar"/>
              </w:rPr>
              <w:t>≦100%</w:t>
            </w:r>
            <w:r>
              <w:rPr>
                <w:rStyle w:val="15"/>
                <w:lang w:val="en-US" w:eastAsia="zh-CN" w:bidi="ar"/>
              </w:rPr>
              <w:t>，计3</w:t>
            </w:r>
            <w:r>
              <w:rPr>
                <w:rFonts w:hint="default" w:ascii="Times New Roman" w:hAnsi="Times New Roman" w:eastAsia="宋体" w:cs="Times New Roman"/>
                <w:i w:val="0"/>
                <w:iCs w:val="0"/>
                <w:color w:val="000000"/>
                <w:kern w:val="0"/>
                <w:sz w:val="20"/>
                <w:szCs w:val="20"/>
                <w:u w:val="none"/>
                <w:lang w:val="en-US" w:eastAsia="zh-CN" w:bidi="ar"/>
              </w:rPr>
              <w:t>分；每超过一个百分点扣0.5</w:t>
            </w:r>
            <w:r>
              <w:rPr>
                <w:rStyle w:val="15"/>
                <w:lang w:val="en-US" w:eastAsia="zh-CN" w:bidi="ar"/>
              </w:rPr>
              <w:t>分，扣完为止。</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在职人员控制率</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（在职人员数</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编制数）</w:t>
            </w:r>
            <w:r>
              <w:rPr>
                <w:rFonts w:hint="default" w:ascii="Times New Roman" w:hAnsi="Times New Roman" w:eastAsia="宋体" w:cs="Times New Roman"/>
                <w:i w:val="0"/>
                <w:iCs w:val="0"/>
                <w:color w:val="000000"/>
                <w:kern w:val="0"/>
                <w:sz w:val="20"/>
                <w:szCs w:val="20"/>
                <w:u w:val="none"/>
                <w:lang w:val="en-US" w:eastAsia="zh-CN" w:bidi="ar"/>
              </w:rPr>
              <w:t>×100%</w:t>
            </w:r>
            <w:r>
              <w:rPr>
                <w:rStyle w:val="15"/>
                <w:lang w:val="en-US" w:eastAsia="zh-CN" w:bidi="ar"/>
              </w:rPr>
              <w:t>，在职人员数：单位实际在职人数，以财政部门确定的部门决算编制口径为准。</w:t>
            </w:r>
            <w:r>
              <w:rPr>
                <w:rStyle w:val="15"/>
                <w:lang w:val="en-US" w:eastAsia="zh-CN" w:bidi="ar"/>
              </w:rPr>
              <w:br w:type="textWrapping"/>
            </w:r>
            <w:r>
              <w:rPr>
                <w:rStyle w:val="15"/>
                <w:lang w:val="en-US" w:eastAsia="zh-CN" w:bidi="ar"/>
              </w:rPr>
              <w:t>编制数：机构编制部门核定批复的单位的人员编制数。</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4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0"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三公</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5"/>
                <w:lang w:val="en-US" w:eastAsia="zh-CN" w:bidi="ar"/>
              </w:rPr>
              <w:t>经费</w:t>
            </w:r>
            <w:r>
              <w:rPr>
                <w:rFonts w:hint="default" w:ascii="Times New Roman" w:hAnsi="Times New Roman" w:eastAsia="宋体"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5"/>
                <w:lang w:val="en-US" w:eastAsia="zh-CN" w:bidi="ar"/>
              </w:rPr>
              <w:t>变动率</w:t>
            </w:r>
          </w:p>
        </w:tc>
        <w:tc>
          <w:tcPr>
            <w:tcW w:w="5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三公经费</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变动率</w:t>
            </w:r>
            <w:r>
              <w:rPr>
                <w:rFonts w:hint="default" w:ascii="Times New Roman" w:hAnsi="Times New Roman" w:eastAsia="宋体" w:cs="Times New Roman"/>
                <w:i w:val="0"/>
                <w:iCs w:val="0"/>
                <w:color w:val="000000"/>
                <w:kern w:val="0"/>
                <w:sz w:val="20"/>
                <w:szCs w:val="20"/>
                <w:u w:val="none"/>
                <w:lang w:val="en-US" w:eastAsia="zh-CN" w:bidi="ar"/>
              </w:rPr>
              <w:t>≦0</w:t>
            </w:r>
            <w:r>
              <w:rPr>
                <w:rStyle w:val="15"/>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计</w:t>
            </w:r>
            <w:r>
              <w:rPr>
                <w:rStyle w:val="15"/>
                <w:lang w:val="en-US" w:eastAsia="zh-CN" w:bidi="ar"/>
              </w:rPr>
              <w:t>5</w:t>
            </w:r>
            <w:r>
              <w:rPr>
                <w:rFonts w:hint="default" w:ascii="Times New Roman" w:hAnsi="Times New Roman" w:eastAsia="宋体" w:cs="Times New Roman"/>
                <w:i w:val="0"/>
                <w:iCs w:val="0"/>
                <w:color w:val="000000"/>
                <w:kern w:val="0"/>
                <w:sz w:val="20"/>
                <w:szCs w:val="20"/>
                <w:u w:val="none"/>
                <w:lang w:val="en-US" w:eastAsia="zh-CN" w:bidi="ar"/>
              </w:rPr>
              <w:t>分；“</w:t>
            </w:r>
            <w:r>
              <w:rPr>
                <w:rStyle w:val="15"/>
                <w:lang w:val="en-US" w:eastAsia="zh-CN" w:bidi="ar"/>
              </w:rPr>
              <w:t>三公经费</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w:t>
            </w:r>
            <w:r>
              <w:rPr>
                <w:rStyle w:val="15"/>
                <w:lang w:val="en-US" w:eastAsia="zh-CN" w:bidi="ar"/>
              </w:rPr>
              <w:t>，每超过一个百分点扣0.5</w:t>
            </w:r>
            <w:r>
              <w:rPr>
                <w:rFonts w:hint="default" w:ascii="Times New Roman" w:hAnsi="Times New Roman" w:eastAsia="宋体" w:cs="Times New Roman"/>
                <w:i w:val="0"/>
                <w:iCs w:val="0"/>
                <w:color w:val="000000"/>
                <w:kern w:val="0"/>
                <w:sz w:val="20"/>
                <w:szCs w:val="20"/>
                <w:u w:val="none"/>
                <w:lang w:val="en-US" w:eastAsia="zh-CN" w:bidi="ar"/>
              </w:rPr>
              <w:t>分，扣完为止。</w:t>
            </w:r>
          </w:p>
        </w:tc>
        <w:tc>
          <w:tcPr>
            <w:tcW w:w="27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在公经费</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变动率</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（本年度</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三公经费</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预算数</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上年度</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三公经费</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预算数）</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上年度</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三公经费</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预算数</w:t>
            </w:r>
            <w:r>
              <w:rPr>
                <w:rFonts w:hint="default" w:ascii="Times New Roman" w:hAnsi="Times New Roman" w:eastAsia="宋体" w:cs="Times New Roman"/>
                <w:i w:val="0"/>
                <w:iCs w:val="0"/>
                <w:color w:val="000000"/>
                <w:kern w:val="0"/>
                <w:sz w:val="20"/>
                <w:szCs w:val="20"/>
                <w:u w:val="none"/>
                <w:lang w:val="en-US" w:eastAsia="zh-CN" w:bidi="ar"/>
              </w:rPr>
              <w:t>]×100%</w:t>
            </w:r>
          </w:p>
        </w:tc>
        <w:tc>
          <w:tcPr>
            <w:tcW w:w="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安排率</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宋体" w:hAnsi="宋体" w:eastAsia="宋体" w:cs="宋体"/>
                <w:i w:val="0"/>
                <w:iCs w:val="0"/>
                <w:color w:val="000000"/>
                <w:sz w:val="20"/>
                <w:szCs w:val="20"/>
                <w:u w:val="none"/>
              </w:rPr>
            </w:pPr>
            <w:r>
              <w:rPr>
                <w:rStyle w:val="15"/>
                <w:lang w:val="en-US" w:eastAsia="zh-CN" w:bidi="ar"/>
              </w:rPr>
              <w:t>重点支出安排率</w:t>
            </w:r>
            <w:r>
              <w:rPr>
                <w:rFonts w:hint="default" w:ascii="Times New Roman" w:hAnsi="Times New Roman" w:eastAsia="宋体" w:cs="Times New Roman"/>
                <w:i w:val="0"/>
                <w:iCs w:val="0"/>
                <w:color w:val="000000"/>
                <w:kern w:val="0"/>
                <w:sz w:val="20"/>
                <w:szCs w:val="20"/>
                <w:u w:val="none"/>
                <w:lang w:val="en-US" w:eastAsia="zh-CN" w:bidi="ar"/>
              </w:rPr>
              <w:t>100%</w:t>
            </w:r>
            <w:r>
              <w:rPr>
                <w:rStyle w:val="15"/>
                <w:lang w:val="en-US" w:eastAsia="zh-CN" w:bidi="ar"/>
              </w:rPr>
              <w:t>，计</w:t>
            </w:r>
            <w:r>
              <w:rPr>
                <w:rFonts w:hint="default" w:ascii="Times New Roman" w:hAnsi="Times New Roman" w:eastAsia="宋体" w:cs="Times New Roman"/>
                <w:i w:val="0"/>
                <w:iCs w:val="0"/>
                <w:color w:val="000000"/>
                <w:kern w:val="0"/>
                <w:sz w:val="20"/>
                <w:szCs w:val="20"/>
                <w:u w:val="none"/>
                <w:lang w:val="en-US" w:eastAsia="zh-CN" w:bidi="ar"/>
              </w:rPr>
              <w:t>5</w:t>
            </w:r>
            <w:r>
              <w:rPr>
                <w:rStyle w:val="15"/>
                <w:lang w:val="en-US" w:eastAsia="zh-CN" w:bidi="ar"/>
              </w:rPr>
              <w:t>分；每下降</w:t>
            </w:r>
            <w:r>
              <w:rPr>
                <w:rFonts w:hint="default" w:ascii="Times New Roman" w:hAnsi="Times New Roman" w:eastAsia="宋体" w:cs="Times New Roman"/>
                <w:i w:val="0"/>
                <w:iCs w:val="0"/>
                <w:color w:val="000000"/>
                <w:kern w:val="0"/>
                <w:sz w:val="20"/>
                <w:szCs w:val="20"/>
                <w:u w:val="none"/>
                <w:lang w:val="en-US" w:eastAsia="zh-CN" w:bidi="ar"/>
              </w:rPr>
              <w:t>5%</w:t>
            </w:r>
            <w:r>
              <w:rPr>
                <w:rStyle w:val="15"/>
                <w:lang w:val="en-US" w:eastAsia="zh-CN" w:bidi="ar"/>
              </w:rPr>
              <w:t>，扣</w:t>
            </w:r>
            <w:r>
              <w:rPr>
                <w:rFonts w:hint="default" w:ascii="Times New Roman" w:hAnsi="Times New Roman" w:eastAsia="宋体" w:cs="Times New Roman"/>
                <w:i w:val="0"/>
                <w:iCs w:val="0"/>
                <w:color w:val="000000"/>
                <w:kern w:val="0"/>
                <w:sz w:val="20"/>
                <w:szCs w:val="20"/>
                <w:u w:val="none"/>
                <w:lang w:val="en-US" w:eastAsia="zh-CN" w:bidi="ar"/>
              </w:rPr>
              <w:t>2</w:t>
            </w:r>
            <w:r>
              <w:rPr>
                <w:rStyle w:val="15"/>
                <w:lang w:val="en-US" w:eastAsia="zh-CN" w:bidi="ar"/>
              </w:rPr>
              <w:t>分，扣完为止。</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重点支出安排率</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（重点项目支出</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项目总支出）</w:t>
            </w:r>
            <w:r>
              <w:rPr>
                <w:rFonts w:hint="default" w:ascii="Times New Roman" w:hAnsi="Times New Roman" w:eastAsia="宋体" w:cs="Times New Roman"/>
                <w:i w:val="0"/>
                <w:iCs w:val="0"/>
                <w:color w:val="000000"/>
                <w:kern w:val="0"/>
                <w:sz w:val="20"/>
                <w:szCs w:val="20"/>
                <w:u w:val="none"/>
                <w:lang w:val="en-US" w:eastAsia="zh-CN" w:bidi="ar"/>
              </w:rPr>
              <w:t>×100%</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5"/>
                <w:lang w:val="en-US" w:eastAsia="zh-CN" w:bidi="ar"/>
              </w:rPr>
              <w:t>重点项目支出：根据单位的职能职责，结合当年的重点工作和计划安排情况，部门年度预算优先保障的重要项目支出。项目总支出：单位年度预算安排的项目支出总额。</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9" w:hRule="atLeast"/>
          <w:jc w:val="center"/>
        </w:trPr>
        <w:tc>
          <w:tcPr>
            <w:tcW w:w="5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w:t>
            </w: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5"/>
                <w:lang w:val="en-US" w:eastAsia="zh-CN" w:bidi="ar"/>
              </w:rPr>
              <w:t>程</w:t>
            </w:r>
          </w:p>
        </w:tc>
        <w:tc>
          <w:tcPr>
            <w:tcW w:w="41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4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执行率</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2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①</w:t>
            </w:r>
            <w:r>
              <w:rPr>
                <w:rStyle w:val="15"/>
                <w:lang w:val="en-US" w:eastAsia="zh-CN" w:bidi="ar"/>
              </w:rPr>
              <w:t>预算完成率</w:t>
            </w:r>
            <w:r>
              <w:rPr>
                <w:rFonts w:hint="default" w:ascii="Times New Roman" w:hAnsi="Times New Roman" w:eastAsia="宋体" w:cs="Times New Roman"/>
                <w:i w:val="0"/>
                <w:iCs w:val="0"/>
                <w:color w:val="000000"/>
                <w:kern w:val="0"/>
                <w:sz w:val="20"/>
                <w:szCs w:val="20"/>
                <w:u w:val="none"/>
                <w:lang w:val="en-US" w:eastAsia="zh-CN" w:bidi="ar"/>
              </w:rPr>
              <w:t>95%</w:t>
            </w:r>
            <w:r>
              <w:rPr>
                <w:rStyle w:val="15"/>
                <w:lang w:val="en-US" w:eastAsia="zh-CN" w:bidi="ar"/>
              </w:rPr>
              <w:t>以上计</w:t>
            </w:r>
            <w:r>
              <w:rPr>
                <w:rFonts w:hint="default" w:ascii="Times New Roman" w:hAnsi="Times New Roman" w:eastAsia="宋体" w:cs="Times New Roman"/>
                <w:i w:val="0"/>
                <w:iCs w:val="0"/>
                <w:color w:val="000000"/>
                <w:kern w:val="0"/>
                <w:sz w:val="20"/>
                <w:szCs w:val="20"/>
                <w:u w:val="none"/>
                <w:lang w:val="en-US" w:eastAsia="zh-CN" w:bidi="ar"/>
              </w:rPr>
              <w:t>3</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t>95-90%</w:t>
            </w:r>
            <w:r>
              <w:rPr>
                <w:rStyle w:val="15"/>
                <w:lang w:val="en-US" w:eastAsia="zh-CN" w:bidi="ar"/>
              </w:rPr>
              <w:t>（含），计</w:t>
            </w:r>
            <w:r>
              <w:rPr>
                <w:rFonts w:hint="default" w:ascii="Times New Roman" w:hAnsi="Times New Roman" w:eastAsia="宋体" w:cs="Times New Roman"/>
                <w:i w:val="0"/>
                <w:iCs w:val="0"/>
                <w:color w:val="000000"/>
                <w:kern w:val="0"/>
                <w:sz w:val="20"/>
                <w:szCs w:val="20"/>
                <w:u w:val="none"/>
                <w:lang w:val="en-US" w:eastAsia="zh-CN" w:bidi="ar"/>
              </w:rPr>
              <w:t>1.5</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t>90-80%</w:t>
            </w:r>
            <w:r>
              <w:rPr>
                <w:rStyle w:val="15"/>
                <w:lang w:val="en-US" w:eastAsia="zh-CN" w:bidi="ar"/>
              </w:rPr>
              <w:t>（含），计</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分，小于</w:t>
            </w:r>
            <w:r>
              <w:rPr>
                <w:rFonts w:hint="default" w:ascii="Times New Roman" w:hAnsi="Times New Roman" w:eastAsia="宋体" w:cs="Times New Roman"/>
                <w:i w:val="0"/>
                <w:iCs w:val="0"/>
                <w:color w:val="000000"/>
                <w:kern w:val="0"/>
                <w:sz w:val="20"/>
                <w:szCs w:val="20"/>
                <w:u w:val="none"/>
                <w:lang w:val="en-US" w:eastAsia="zh-CN" w:bidi="ar"/>
              </w:rPr>
              <w:t>80%</w:t>
            </w:r>
            <w:r>
              <w:rPr>
                <w:rStyle w:val="15"/>
                <w:lang w:val="en-US" w:eastAsia="zh-CN" w:bidi="ar"/>
              </w:rPr>
              <w:t>不得分；</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①单位本年度预算完成数与预算数的比率，用以反映和考核单位预算完成程度；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②单位实际支付进度与既定支付进度的比率，用以反映和考核部门预算执行的及时性和均衡性程度。</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1"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②</w:t>
            </w:r>
            <w:r>
              <w:rPr>
                <w:rStyle w:val="15"/>
                <w:lang w:val="en-US" w:eastAsia="zh-CN" w:bidi="ar"/>
              </w:rPr>
              <w:t>支付进度率</w:t>
            </w:r>
            <w:r>
              <w:rPr>
                <w:rFonts w:hint="default" w:ascii="Times New Roman" w:hAnsi="Times New Roman" w:eastAsia="宋体" w:cs="Times New Roman"/>
                <w:i w:val="0"/>
                <w:iCs w:val="0"/>
                <w:color w:val="000000"/>
                <w:kern w:val="0"/>
                <w:sz w:val="20"/>
                <w:szCs w:val="20"/>
                <w:u w:val="none"/>
                <w:lang w:val="en-US" w:eastAsia="zh-CN" w:bidi="ar"/>
              </w:rPr>
              <w:t>95%</w:t>
            </w:r>
            <w:r>
              <w:rPr>
                <w:rStyle w:val="15"/>
                <w:lang w:val="en-US" w:eastAsia="zh-CN" w:bidi="ar"/>
              </w:rPr>
              <w:t>以上计</w:t>
            </w:r>
            <w:r>
              <w:rPr>
                <w:rFonts w:hint="default" w:ascii="Times New Roman" w:hAnsi="Times New Roman" w:eastAsia="宋体" w:cs="Times New Roman"/>
                <w:i w:val="0"/>
                <w:iCs w:val="0"/>
                <w:color w:val="000000"/>
                <w:kern w:val="0"/>
                <w:sz w:val="20"/>
                <w:szCs w:val="20"/>
                <w:u w:val="none"/>
                <w:lang w:val="en-US" w:eastAsia="zh-CN" w:bidi="ar"/>
              </w:rPr>
              <w:t>3</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t>95-90%</w:t>
            </w:r>
            <w:r>
              <w:rPr>
                <w:rStyle w:val="15"/>
                <w:lang w:val="en-US" w:eastAsia="zh-CN" w:bidi="ar"/>
              </w:rPr>
              <w:t>（含），计</w:t>
            </w:r>
            <w:r>
              <w:rPr>
                <w:rFonts w:hint="default" w:ascii="Times New Roman" w:hAnsi="Times New Roman" w:eastAsia="宋体" w:cs="Times New Roman"/>
                <w:i w:val="0"/>
                <w:iCs w:val="0"/>
                <w:color w:val="000000"/>
                <w:kern w:val="0"/>
                <w:sz w:val="20"/>
                <w:szCs w:val="20"/>
                <w:u w:val="none"/>
                <w:lang w:val="en-US" w:eastAsia="zh-CN" w:bidi="ar"/>
              </w:rPr>
              <w:t>1.5</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t>90-80%</w:t>
            </w:r>
            <w:r>
              <w:rPr>
                <w:rStyle w:val="15"/>
                <w:lang w:val="en-US" w:eastAsia="zh-CN" w:bidi="ar"/>
              </w:rPr>
              <w:t>（含），计</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分，小于</w:t>
            </w:r>
            <w:r>
              <w:rPr>
                <w:rFonts w:hint="default" w:ascii="Times New Roman" w:hAnsi="Times New Roman" w:eastAsia="宋体" w:cs="Times New Roman"/>
                <w:i w:val="0"/>
                <w:iCs w:val="0"/>
                <w:color w:val="000000"/>
                <w:kern w:val="0"/>
                <w:sz w:val="20"/>
                <w:szCs w:val="20"/>
                <w:u w:val="none"/>
                <w:lang w:val="en-US" w:eastAsia="zh-CN" w:bidi="ar"/>
              </w:rPr>
              <w:t>80%</w:t>
            </w:r>
            <w:r>
              <w:rPr>
                <w:rStyle w:val="15"/>
                <w:lang w:val="en-US" w:eastAsia="zh-CN" w:bidi="ar"/>
              </w:rPr>
              <w:t>不得分。</w:t>
            </w: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w:t>
            </w: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5"/>
                <w:lang w:val="en-US" w:eastAsia="zh-CN" w:bidi="ar"/>
              </w:rPr>
              <w:t>程</w:t>
            </w:r>
          </w:p>
        </w:tc>
        <w:tc>
          <w:tcPr>
            <w:tcW w:w="41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4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调整率</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w:t>
            </w:r>
            <w:r>
              <w:rPr>
                <w:rStyle w:val="15"/>
                <w:lang w:val="en-US" w:eastAsia="zh-CN" w:bidi="ar"/>
              </w:rPr>
              <w:t>调整率</w:t>
            </w:r>
            <w:r>
              <w:rPr>
                <w:rFonts w:hint="default" w:ascii="Times New Roman" w:hAnsi="Times New Roman" w:eastAsia="宋体" w:cs="Times New Roman"/>
                <w:i w:val="0"/>
                <w:iCs w:val="0"/>
                <w:color w:val="000000"/>
                <w:kern w:val="0"/>
                <w:sz w:val="20"/>
                <w:szCs w:val="20"/>
                <w:u w:val="none"/>
                <w:lang w:val="en-US" w:eastAsia="zh-CN" w:bidi="ar"/>
              </w:rPr>
              <w:t>=0</w:t>
            </w:r>
            <w:r>
              <w:rPr>
                <w:rStyle w:val="15"/>
                <w:lang w:val="en-US" w:eastAsia="zh-CN" w:bidi="ar"/>
              </w:rPr>
              <w:t>，计</w:t>
            </w:r>
            <w:r>
              <w:rPr>
                <w:rFonts w:hint="default" w:ascii="Times New Roman" w:hAnsi="Times New Roman" w:eastAsia="宋体" w:cs="Times New Roman"/>
                <w:i w:val="0"/>
                <w:iCs w:val="0"/>
                <w:color w:val="000000"/>
                <w:kern w:val="0"/>
                <w:sz w:val="20"/>
                <w:szCs w:val="20"/>
                <w:u w:val="none"/>
                <w:lang w:val="en-US" w:eastAsia="zh-CN" w:bidi="ar"/>
              </w:rPr>
              <w:t>5</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t>0-10%</w:t>
            </w:r>
            <w:r>
              <w:rPr>
                <w:rStyle w:val="15"/>
                <w:lang w:val="en-US" w:eastAsia="zh-CN" w:bidi="ar"/>
              </w:rPr>
              <w:t>（含），计3</w:t>
            </w:r>
            <w:r>
              <w:rPr>
                <w:rFonts w:hint="default" w:ascii="Times New Roman" w:hAnsi="Times New Roman" w:eastAsia="宋体" w:cs="Times New Roman"/>
                <w:i w:val="0"/>
                <w:iCs w:val="0"/>
                <w:color w:val="000000"/>
                <w:kern w:val="0"/>
                <w:sz w:val="20"/>
                <w:szCs w:val="20"/>
                <w:u w:val="none"/>
                <w:lang w:val="en-US" w:eastAsia="zh-CN" w:bidi="ar"/>
              </w:rPr>
              <w:t>分；</w:t>
            </w:r>
            <w:r>
              <w:rPr>
                <w:rStyle w:val="15"/>
                <w:lang w:val="en-US" w:eastAsia="zh-CN" w:bidi="ar"/>
              </w:rPr>
              <w:t>超过</w:t>
            </w:r>
            <w:r>
              <w:rPr>
                <w:rFonts w:hint="default" w:ascii="Times New Roman" w:hAnsi="Times New Roman" w:eastAsia="宋体" w:cs="Times New Roman"/>
                <w:i w:val="0"/>
                <w:iCs w:val="0"/>
                <w:color w:val="000000"/>
                <w:kern w:val="0"/>
                <w:sz w:val="20"/>
                <w:szCs w:val="20"/>
                <w:u w:val="none"/>
                <w:lang w:val="en-US" w:eastAsia="zh-CN" w:bidi="ar"/>
              </w:rPr>
              <w:t>10%不得分</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（预算调整数</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预算数）</w:t>
            </w:r>
            <w:r>
              <w:rPr>
                <w:rFonts w:hint="default" w:ascii="Times New Roman" w:hAnsi="Times New Roman" w:eastAsia="宋体" w:cs="Times New Roman"/>
                <w:i w:val="0"/>
                <w:iCs w:val="0"/>
                <w:color w:val="000000"/>
                <w:kern w:val="0"/>
                <w:sz w:val="20"/>
                <w:szCs w:val="20"/>
                <w:u w:val="none"/>
                <w:lang w:val="en-US" w:eastAsia="zh-CN" w:bidi="ar"/>
              </w:rPr>
              <w:t>×100%</w:t>
            </w:r>
            <w:r>
              <w:rPr>
                <w:rStyle w:val="15"/>
                <w:lang w:val="en-US" w:eastAsia="zh-CN" w:bidi="ar"/>
              </w:rPr>
              <w:t>。</w:t>
            </w:r>
            <w:r>
              <w:rPr>
                <w:rStyle w:val="15"/>
                <w:lang w:val="en-US" w:eastAsia="zh-CN" w:bidi="ar"/>
              </w:rPr>
              <w:br w:type="textWrapping"/>
            </w:r>
            <w:r>
              <w:rPr>
                <w:rStyle w:val="15"/>
                <w:lang w:val="en-US" w:eastAsia="zh-CN" w:bidi="ar"/>
              </w:rPr>
              <w:t>预算调整数：单位在本年度内涉及预算的追加、追减或结构调整的资金总和（因落实国家政策、发生不可抗力、上级部门或本级党委政府临时交办而产生的调整除外）。</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预算执行</w:t>
            </w: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结余率</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无结转结余数（含本年度只结转了一次当年上级转移支付资金）得满分，其余情况不得分。</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结转结余率</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结转结余总额</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支出预算数</w:t>
            </w:r>
            <w:r>
              <w:rPr>
                <w:rFonts w:hint="default" w:ascii="Times New Roman" w:hAnsi="Times New Roman" w:eastAsia="宋体" w:cs="Times New Roman"/>
                <w:i w:val="0"/>
                <w:iCs w:val="0"/>
                <w:color w:val="000000"/>
                <w:kern w:val="0"/>
                <w:sz w:val="20"/>
                <w:szCs w:val="20"/>
                <w:u w:val="none"/>
                <w:lang w:val="en-US" w:eastAsia="zh-CN" w:bidi="ar"/>
              </w:rPr>
              <w:t>×100%</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5"/>
                <w:lang w:val="en-US" w:eastAsia="zh-CN" w:bidi="ar"/>
              </w:rPr>
              <w:t>结转结余总额：单位本年度的结转资金与结余资金之和（以决算为准）</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控制率</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r>
              <w:rPr>
                <w:rStyle w:val="15"/>
                <w:lang w:val="en-US" w:eastAsia="zh-CN" w:bidi="ar"/>
              </w:rPr>
              <w:t>以下（含）计满分，每超出</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扣</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分，扣完为止。</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公用经费控制率</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（实际支出公用经费总额</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预算安排公用经费总额）</w:t>
            </w:r>
            <w:r>
              <w:rPr>
                <w:rFonts w:hint="default" w:ascii="Times New Roman" w:hAnsi="Times New Roman" w:eastAsia="宋体" w:cs="Times New Roman"/>
                <w:i w:val="0"/>
                <w:iCs w:val="0"/>
                <w:color w:val="000000"/>
                <w:kern w:val="0"/>
                <w:sz w:val="20"/>
                <w:szCs w:val="20"/>
                <w:u w:val="none"/>
                <w:lang w:val="en-US" w:eastAsia="zh-CN" w:bidi="ar"/>
              </w:rPr>
              <w:t>×100%</w:t>
            </w:r>
            <w:r>
              <w:rPr>
                <w:rStyle w:val="15"/>
                <w:lang w:val="en-US" w:eastAsia="zh-CN" w:bidi="ar"/>
              </w:rPr>
              <w:t>。</w:t>
            </w:r>
            <w:r>
              <w:rPr>
                <w:rStyle w:val="15"/>
                <w:lang w:val="en-US" w:eastAsia="zh-CN" w:bidi="ar"/>
              </w:rPr>
              <w:br w:type="textWrapping"/>
            </w:r>
            <w:r>
              <w:rPr>
                <w:rStyle w:val="15"/>
                <w:lang w:val="en-US" w:eastAsia="zh-CN" w:bidi="ar"/>
              </w:rPr>
              <w:t>公用经费支出是指部门基本支出中的一般商品和服务支出。</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三公</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5"/>
                <w:lang w:val="en-US" w:eastAsia="zh-CN" w:bidi="ar"/>
              </w:rPr>
              <w:t>经费</w:t>
            </w:r>
            <w:r>
              <w:rPr>
                <w:rFonts w:hint="default" w:ascii="Times New Roman" w:hAnsi="Times New Roman" w:eastAsia="宋体"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5"/>
                <w:lang w:val="en-US" w:eastAsia="zh-CN" w:bidi="ar"/>
              </w:rPr>
              <w:t>控制率</w:t>
            </w:r>
          </w:p>
        </w:tc>
        <w:tc>
          <w:tcPr>
            <w:tcW w:w="5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r>
              <w:rPr>
                <w:rStyle w:val="15"/>
                <w:lang w:val="en-US" w:eastAsia="zh-CN" w:bidi="ar"/>
              </w:rPr>
              <w:t>以下（含）计满分，每超出</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扣</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分，扣完为止。</w:t>
            </w:r>
          </w:p>
        </w:tc>
        <w:tc>
          <w:tcPr>
            <w:tcW w:w="27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三公经费</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控制率</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三公经费</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实际支出数</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三公经费</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预算安排数）</w:t>
            </w:r>
            <w:r>
              <w:rPr>
                <w:rFonts w:hint="default" w:ascii="Times New Roman" w:hAnsi="Times New Roman" w:eastAsia="宋体" w:cs="Times New Roman"/>
                <w:i w:val="0"/>
                <w:iCs w:val="0"/>
                <w:color w:val="000000"/>
                <w:kern w:val="0"/>
                <w:sz w:val="20"/>
                <w:szCs w:val="20"/>
                <w:u w:val="none"/>
                <w:lang w:val="en-US" w:eastAsia="zh-CN" w:bidi="ar"/>
              </w:rPr>
              <w:t>×100%</w:t>
            </w:r>
            <w:r>
              <w:rPr>
                <w:rStyle w:val="15"/>
                <w:lang w:val="en-US" w:eastAsia="zh-CN" w:bidi="ar"/>
              </w:rPr>
              <w:t>。</w:t>
            </w:r>
          </w:p>
        </w:tc>
        <w:tc>
          <w:tcPr>
            <w:tcW w:w="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执行率</w:t>
            </w:r>
          </w:p>
        </w:tc>
        <w:tc>
          <w:tcPr>
            <w:tcW w:w="5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r>
              <w:rPr>
                <w:rStyle w:val="15"/>
                <w:lang w:val="en-US" w:eastAsia="zh-CN" w:bidi="ar"/>
              </w:rPr>
              <w:t>计满分，每超过（降低）</w:t>
            </w:r>
            <w:r>
              <w:rPr>
                <w:rFonts w:hint="default" w:ascii="Times New Roman" w:hAnsi="Times New Roman" w:eastAsia="宋体" w:cs="Times New Roman"/>
                <w:i w:val="0"/>
                <w:iCs w:val="0"/>
                <w:color w:val="000000"/>
                <w:kern w:val="0"/>
                <w:sz w:val="20"/>
                <w:szCs w:val="20"/>
                <w:u w:val="none"/>
                <w:lang w:val="en-US" w:eastAsia="zh-CN" w:bidi="ar"/>
              </w:rPr>
              <w:t>5%</w:t>
            </w:r>
            <w:r>
              <w:rPr>
                <w:rStyle w:val="15"/>
                <w:lang w:val="en-US" w:eastAsia="zh-CN" w:bidi="ar"/>
              </w:rPr>
              <w:t>扣</w:t>
            </w:r>
            <w:r>
              <w:rPr>
                <w:rFonts w:hint="default" w:ascii="Times New Roman" w:hAnsi="Times New Roman" w:eastAsia="宋体" w:cs="Times New Roman"/>
                <w:i w:val="0"/>
                <w:iCs w:val="0"/>
                <w:color w:val="000000"/>
                <w:kern w:val="0"/>
                <w:sz w:val="20"/>
                <w:szCs w:val="20"/>
                <w:u w:val="none"/>
                <w:lang w:val="en-US" w:eastAsia="zh-CN" w:bidi="ar"/>
              </w:rPr>
              <w:t>2</w:t>
            </w:r>
            <w:r>
              <w:rPr>
                <w:rStyle w:val="15"/>
                <w:lang w:val="en-US" w:eastAsia="zh-CN" w:bidi="ar"/>
              </w:rPr>
              <w:t>分。扣完为止。</w:t>
            </w:r>
          </w:p>
        </w:tc>
        <w:tc>
          <w:tcPr>
            <w:tcW w:w="27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政府采购执行率=</w:t>
            </w:r>
            <w:r>
              <w:rPr>
                <w:rStyle w:val="15"/>
                <w:lang w:val="en-US" w:eastAsia="zh-CN" w:bidi="ar"/>
              </w:rPr>
              <w:t>（实际政府采购金额</w:t>
            </w:r>
            <w:r>
              <w:rPr>
                <w:rFonts w:hint="default" w:ascii="Times New Roman" w:hAnsi="Times New Roman" w:eastAsia="宋体" w:cs="Times New Roman"/>
                <w:i w:val="0"/>
                <w:iCs w:val="0"/>
                <w:color w:val="000000"/>
                <w:kern w:val="0"/>
                <w:sz w:val="20"/>
                <w:szCs w:val="20"/>
                <w:u w:val="none"/>
                <w:lang w:val="en-US" w:eastAsia="zh-CN" w:bidi="ar"/>
              </w:rPr>
              <w:t>/</w:t>
            </w:r>
            <w:r>
              <w:rPr>
                <w:rStyle w:val="15"/>
                <w:lang w:val="en-US" w:eastAsia="zh-CN" w:bidi="ar"/>
              </w:rPr>
              <w:t>政府采购预算数）</w:t>
            </w:r>
            <w:r>
              <w:rPr>
                <w:rFonts w:hint="default" w:ascii="Times New Roman" w:hAnsi="Times New Roman" w:eastAsia="宋体" w:cs="Times New Roman"/>
                <w:i w:val="0"/>
                <w:iCs w:val="0"/>
                <w:color w:val="000000"/>
                <w:kern w:val="0"/>
                <w:sz w:val="20"/>
                <w:szCs w:val="20"/>
                <w:u w:val="none"/>
                <w:lang w:val="en-US" w:eastAsia="zh-CN" w:bidi="ar"/>
              </w:rPr>
              <w:t xml:space="preserve">×100%    </w:t>
            </w:r>
          </w:p>
        </w:tc>
        <w:tc>
          <w:tcPr>
            <w:tcW w:w="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预算管理</w:t>
            </w: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健全性</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①财务管理内控制度、会计核算制度等管理制度、有关反馈问题整改落实情况，1分；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②有本部门厉行节约制度，</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w:t>
            </w:r>
            <w:r>
              <w:rPr>
                <w:rStyle w:val="15"/>
                <w:lang w:val="en-US" w:eastAsia="zh-CN" w:bidi="ar"/>
              </w:rPr>
              <w:br w:type="textWrapping"/>
            </w:r>
            <w:r>
              <w:rPr>
                <w:rStyle w:val="15"/>
                <w:lang w:val="en-US" w:eastAsia="zh-CN" w:bidi="ar"/>
              </w:rPr>
              <w:t>③相关管理制度合法、合规、完整，1分；</w:t>
            </w:r>
            <w:r>
              <w:rPr>
                <w:rStyle w:val="15"/>
                <w:lang w:val="en-US" w:eastAsia="zh-CN" w:bidi="ar"/>
              </w:rPr>
              <w:br w:type="textWrapping"/>
            </w:r>
            <w:r>
              <w:rPr>
                <w:rStyle w:val="15"/>
                <w:lang w:val="en-US" w:eastAsia="zh-CN" w:bidi="ar"/>
              </w:rPr>
              <w:t>④相关管理制度得到有效执行，1分。以上各项制度缺少一项扣1分，扣完为止。</w:t>
            </w:r>
          </w:p>
        </w:tc>
        <w:tc>
          <w:tcPr>
            <w:tcW w:w="271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4"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合规性</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①支出符合国家财经法规和财务管理制度规定以及有关项目资金管理办法的规定，</w:t>
            </w:r>
            <w:r>
              <w:rPr>
                <w:rFonts w:hint="default" w:ascii="Times New Roman" w:hAnsi="Times New Roman" w:eastAsia="宋体" w:cs="Times New Roman"/>
                <w:i w:val="0"/>
                <w:iCs w:val="0"/>
                <w:color w:val="000000"/>
                <w:kern w:val="0"/>
                <w:sz w:val="20"/>
                <w:szCs w:val="20"/>
                <w:u w:val="none"/>
                <w:lang w:val="en-US" w:eastAsia="zh-CN" w:bidi="ar"/>
              </w:rPr>
              <w:t>2</w:t>
            </w:r>
            <w:r>
              <w:rPr>
                <w:rStyle w:val="15"/>
                <w:lang w:val="en-US" w:eastAsia="zh-CN" w:bidi="ar"/>
              </w:rPr>
              <w:t>分；</w:t>
            </w:r>
            <w:r>
              <w:rPr>
                <w:rStyle w:val="15"/>
                <w:lang w:val="en-US" w:eastAsia="zh-CN" w:bidi="ar"/>
              </w:rPr>
              <w:br w:type="textWrapping"/>
            </w:r>
            <w:r>
              <w:rPr>
                <w:rStyle w:val="15"/>
                <w:lang w:val="en-US" w:eastAsia="zh-CN" w:bidi="ar"/>
              </w:rPr>
              <w:t>②资金拨付有完整的审批程序和手续，</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w:t>
            </w:r>
            <w:r>
              <w:rPr>
                <w:rStyle w:val="15"/>
                <w:lang w:val="en-US" w:eastAsia="zh-CN" w:bidi="ar"/>
              </w:rPr>
              <w:br w:type="textWrapping"/>
            </w:r>
            <w:r>
              <w:rPr>
                <w:rStyle w:val="15"/>
                <w:lang w:val="en-US" w:eastAsia="zh-CN" w:bidi="ar"/>
              </w:rPr>
              <w:t>③项目支出是否专款专用，无随意调整现象，1分；</w:t>
            </w:r>
            <w:r>
              <w:rPr>
                <w:rStyle w:val="15"/>
                <w:lang w:val="en-US" w:eastAsia="zh-CN" w:bidi="ar"/>
              </w:rPr>
              <w:br w:type="textWrapping"/>
            </w:r>
            <w:r>
              <w:rPr>
                <w:rStyle w:val="15"/>
                <w:lang w:val="en-US" w:eastAsia="zh-CN" w:bidi="ar"/>
              </w:rPr>
              <w:t>④支出符合部门预算批复或合同规定使用的用途，1分；</w:t>
            </w:r>
            <w:r>
              <w:rPr>
                <w:rStyle w:val="15"/>
                <w:lang w:val="en-US" w:eastAsia="zh-CN" w:bidi="ar"/>
              </w:rPr>
              <w:br w:type="textWrapping"/>
            </w:r>
            <w:r>
              <w:rPr>
                <w:rStyle w:val="15"/>
                <w:lang w:val="en-US" w:eastAsia="zh-CN" w:bidi="ar"/>
              </w:rPr>
              <w:t>⑤资金使用无截留、挤占、挪用、虚列支出等情况，1分。</w:t>
            </w:r>
            <w:r>
              <w:rPr>
                <w:rStyle w:val="15"/>
                <w:lang w:val="en-US" w:eastAsia="zh-CN" w:bidi="ar"/>
              </w:rPr>
              <w:br w:type="textWrapping"/>
            </w:r>
            <w:r>
              <w:rPr>
                <w:rStyle w:val="15"/>
                <w:lang w:val="en-US" w:eastAsia="zh-CN" w:bidi="ar"/>
              </w:rPr>
              <w:t>⑥大额资金使用经单位党组集体讨论决策，1分；</w:t>
            </w:r>
            <w:r>
              <w:rPr>
                <w:rStyle w:val="15"/>
                <w:lang w:val="en-US" w:eastAsia="zh-CN" w:bidi="ar"/>
              </w:rPr>
              <w:br w:type="textWrapping"/>
            </w:r>
            <w:r>
              <w:rPr>
                <w:rStyle w:val="15"/>
                <w:lang w:val="en-US" w:eastAsia="zh-CN" w:bidi="ar"/>
              </w:rPr>
              <w:t>⑦按政府会计准则制度进行账务处理，1分。</w:t>
            </w:r>
            <w:r>
              <w:rPr>
                <w:rStyle w:val="15"/>
                <w:lang w:val="en-US" w:eastAsia="zh-CN" w:bidi="ar"/>
              </w:rPr>
              <w:br w:type="textWrapping"/>
            </w:r>
            <w:r>
              <w:rPr>
                <w:rStyle w:val="15"/>
                <w:lang w:val="en-US" w:eastAsia="zh-CN" w:bidi="ar"/>
              </w:rPr>
              <w:t>以上情况每出现一例不符合要求的扣1分以上，扣完为止。</w:t>
            </w:r>
          </w:p>
        </w:tc>
        <w:tc>
          <w:tcPr>
            <w:tcW w:w="271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3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39"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3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w:t>
            </w: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5"/>
                <w:lang w:val="en-US" w:eastAsia="zh-CN" w:bidi="ar"/>
              </w:rPr>
              <w:t>程</w:t>
            </w:r>
          </w:p>
        </w:tc>
        <w:tc>
          <w:tcPr>
            <w:tcW w:w="41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预算管理</w:t>
            </w: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公开性</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①规定内容公开预决算信息，1分；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②按规定时限公开预决算信息，</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分；③基础数据信息和会计信息资料真实，1分；</w:t>
            </w:r>
            <w:r>
              <w:rPr>
                <w:rStyle w:val="15"/>
                <w:lang w:val="en-US" w:eastAsia="zh-CN" w:bidi="ar"/>
              </w:rPr>
              <w:br w:type="textWrapping"/>
            </w:r>
            <w:r>
              <w:rPr>
                <w:rStyle w:val="15"/>
                <w:lang w:val="en-US" w:eastAsia="zh-CN" w:bidi="ar"/>
              </w:rPr>
              <w:t>④基础数据信息和会计信息资料完整，1分。</w:t>
            </w:r>
            <w:r>
              <w:rPr>
                <w:rStyle w:val="15"/>
                <w:lang w:val="en-US" w:eastAsia="zh-CN" w:bidi="ar"/>
              </w:rPr>
              <w:br w:type="textWrapping"/>
            </w:r>
            <w:r>
              <w:rPr>
                <w:rStyle w:val="15"/>
                <w:lang w:val="en-US" w:eastAsia="zh-CN" w:bidi="ar"/>
              </w:rPr>
              <w:t>每出现一例不符合要求的扣1分，扣完为止。</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预决算信息是指与部门预算、执行、决算、监督、绩效等管理相关的信息。</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健全性</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①资产购置编制年度预算，</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w:t>
            </w:r>
            <w:r>
              <w:rPr>
                <w:rStyle w:val="15"/>
                <w:lang w:val="en-US" w:eastAsia="zh-CN" w:bidi="ar"/>
              </w:rPr>
              <w:br w:type="textWrapping"/>
            </w:r>
            <w:r>
              <w:rPr>
                <w:rStyle w:val="15"/>
                <w:lang w:val="en-US" w:eastAsia="zh-CN" w:bidi="ar"/>
              </w:rPr>
              <w:t>②资产购置和处置手续齐全，</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w:t>
            </w:r>
            <w:r>
              <w:rPr>
                <w:rStyle w:val="15"/>
                <w:lang w:val="en-US" w:eastAsia="zh-CN" w:bidi="ar"/>
              </w:rPr>
              <w:br w:type="textWrapping"/>
            </w:r>
            <w:r>
              <w:rPr>
                <w:rStyle w:val="15"/>
                <w:lang w:val="en-US" w:eastAsia="zh-CN" w:bidi="ar"/>
              </w:rPr>
              <w:t>③资产处置和有偿使用资金足额上缴，1分。</w:t>
            </w:r>
            <w:r>
              <w:rPr>
                <w:rStyle w:val="15"/>
                <w:lang w:val="en-US" w:eastAsia="zh-CN" w:bidi="ar"/>
              </w:rPr>
              <w:br w:type="textWrapping"/>
            </w:r>
            <w:r>
              <w:rPr>
                <w:rStyle w:val="15"/>
                <w:lang w:val="en-US" w:eastAsia="zh-CN" w:bidi="ar"/>
              </w:rPr>
              <w:t>以上每一项不符合规定扣1分，扣完即止。</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单位为加强预算管理、规范财务行为而制定的管理制度是否健全完整，用以反映和考核单位预算管理制度对完成主要职责或促进事业发展的保障情况。</w:t>
            </w:r>
          </w:p>
        </w:tc>
        <w:tc>
          <w:tcPr>
            <w:tcW w:w="685" w:type="dxa"/>
            <w:vMerge w:val="restart"/>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top"/>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top"/>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top"/>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安全性</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①资产配置合理、保管完整，账实相符的，计1分，发现一例不符，扣</w:t>
            </w:r>
            <w:r>
              <w:rPr>
                <w:rFonts w:hint="default" w:ascii="Times New Roman" w:hAnsi="Times New Roman" w:eastAsia="宋体" w:cs="Times New Roman"/>
                <w:i w:val="0"/>
                <w:iCs w:val="0"/>
                <w:color w:val="000000"/>
                <w:kern w:val="0"/>
                <w:sz w:val="20"/>
                <w:szCs w:val="20"/>
                <w:u w:val="none"/>
                <w:lang w:val="en-US" w:eastAsia="zh-CN" w:bidi="ar"/>
              </w:rPr>
              <w:t>0.</w:t>
            </w:r>
            <w:r>
              <w:rPr>
                <w:rStyle w:val="15"/>
                <w:lang w:val="en-US" w:eastAsia="zh-CN" w:bidi="ar"/>
              </w:rPr>
              <w:t>5分，扣完为止；</w:t>
            </w:r>
            <w:r>
              <w:rPr>
                <w:rStyle w:val="15"/>
                <w:lang w:val="en-US" w:eastAsia="zh-CN" w:bidi="ar"/>
              </w:rPr>
              <w:br w:type="textWrapping"/>
            </w:r>
            <w:r>
              <w:rPr>
                <w:rStyle w:val="15"/>
                <w:lang w:val="en-US" w:eastAsia="zh-CN" w:bidi="ar"/>
              </w:rPr>
              <w:t>②不超资产配置标准，计</w:t>
            </w:r>
            <w:r>
              <w:rPr>
                <w:rFonts w:hint="default" w:ascii="Times New Roman" w:hAnsi="Times New Roman" w:eastAsia="宋体" w:cs="Times New Roman"/>
                <w:i w:val="0"/>
                <w:iCs w:val="0"/>
                <w:color w:val="000000"/>
                <w:kern w:val="0"/>
                <w:sz w:val="20"/>
                <w:szCs w:val="20"/>
                <w:u w:val="none"/>
                <w:lang w:val="en-US" w:eastAsia="zh-CN" w:bidi="ar"/>
              </w:rPr>
              <w:t>1</w:t>
            </w:r>
            <w:r>
              <w:rPr>
                <w:rStyle w:val="15"/>
                <w:lang w:val="en-US" w:eastAsia="zh-CN" w:bidi="ar"/>
              </w:rPr>
              <w:t>分，发现一例超过标准的，本项不得分；</w:t>
            </w:r>
            <w:r>
              <w:rPr>
                <w:rStyle w:val="15"/>
                <w:lang w:val="en-US" w:eastAsia="zh-CN" w:bidi="ar"/>
              </w:rPr>
              <w:br w:type="textWrapping"/>
            </w:r>
            <w:r>
              <w:rPr>
                <w:rStyle w:val="15"/>
                <w:lang w:val="en-US" w:eastAsia="zh-CN" w:bidi="ar"/>
              </w:rPr>
              <w:t>③资产处置规范，计1分，发现一例不符，扣0.5分，扣完为止；</w:t>
            </w:r>
            <w:r>
              <w:rPr>
                <w:rStyle w:val="15"/>
                <w:lang w:val="en-US" w:eastAsia="zh-CN" w:bidi="ar"/>
              </w:rPr>
              <w:br w:type="textWrapping"/>
            </w:r>
            <w:r>
              <w:rPr>
                <w:rStyle w:val="15"/>
                <w:lang w:val="en-US" w:eastAsia="zh-CN" w:bidi="ar"/>
              </w:rPr>
              <w:t>④资产购置履行政府采购手续，手续完整，计1分，发现一例不符，扣0.5分，扣完为止；</w:t>
            </w:r>
            <w:r>
              <w:rPr>
                <w:rStyle w:val="15"/>
                <w:lang w:val="en-US" w:eastAsia="zh-CN" w:bidi="ar"/>
              </w:rPr>
              <w:br w:type="textWrapping"/>
            </w:r>
            <w:r>
              <w:rPr>
                <w:rStyle w:val="15"/>
                <w:lang w:val="en-US" w:eastAsia="zh-CN" w:bidi="ar"/>
              </w:rPr>
              <w:t>⑤资产审批手续规范、齐全，计1分，发现一例不符，扣0.5分，扣完为止。</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单位的资产是否保存完整、使用合规、配置合理、处置规范、收入及时足额上缴，用以反映和考核单位资产安全运行情况。</w:t>
            </w:r>
          </w:p>
        </w:tc>
        <w:tc>
          <w:tcPr>
            <w:tcW w:w="685" w:type="dxa"/>
            <w:vMerge w:val="restart"/>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top"/>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top"/>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top"/>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宋体" w:hAnsi="宋体" w:eastAsia="宋体" w:cs="宋体"/>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top"/>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eastAsia" w:ascii="宋体" w:hAnsi="宋体" w:eastAsia="宋体" w:cs="宋体"/>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7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资产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利用率</w:t>
            </w:r>
          </w:p>
        </w:tc>
        <w:tc>
          <w:tcPr>
            <w:tcW w:w="5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固定资产利用率100%</w:t>
            </w:r>
            <w:r>
              <w:rPr>
                <w:rStyle w:val="15"/>
                <w:lang w:val="en-US" w:eastAsia="zh-CN" w:bidi="ar"/>
              </w:rPr>
              <w:t>计1</w:t>
            </w:r>
            <w:r>
              <w:rPr>
                <w:rFonts w:hint="default" w:ascii="Times New Roman" w:hAnsi="Times New Roman" w:eastAsia="宋体" w:cs="Times New Roman"/>
                <w:i w:val="0"/>
                <w:iCs w:val="0"/>
                <w:color w:val="000000"/>
                <w:kern w:val="0"/>
                <w:sz w:val="20"/>
                <w:szCs w:val="20"/>
                <w:u w:val="none"/>
                <w:lang w:val="en-US" w:eastAsia="zh-CN" w:bidi="ar"/>
              </w:rPr>
              <w:t>分，每下降1%</w:t>
            </w:r>
            <w:r>
              <w:rPr>
                <w:rStyle w:val="15"/>
                <w:lang w:val="en-US" w:eastAsia="zh-CN" w:bidi="ar"/>
              </w:rPr>
              <w:t>扣</w:t>
            </w:r>
            <w:r>
              <w:rPr>
                <w:rFonts w:hint="default" w:ascii="Times New Roman" w:hAnsi="Times New Roman" w:eastAsia="宋体" w:cs="Times New Roman"/>
                <w:i w:val="0"/>
                <w:iCs w:val="0"/>
                <w:color w:val="000000"/>
                <w:kern w:val="0"/>
                <w:sz w:val="20"/>
                <w:szCs w:val="20"/>
                <w:u w:val="none"/>
                <w:lang w:val="en-US" w:eastAsia="zh-CN" w:bidi="ar"/>
              </w:rPr>
              <w:t>0.2</w:t>
            </w:r>
            <w:r>
              <w:rPr>
                <w:rStyle w:val="15"/>
                <w:lang w:val="en-US" w:eastAsia="zh-CN" w:bidi="ar"/>
              </w:rPr>
              <w:t>分，扣完为止。</w:t>
            </w:r>
          </w:p>
        </w:tc>
        <w:tc>
          <w:tcPr>
            <w:tcW w:w="27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单位实际在用固定资产总额与所有固定资产总额的比率，用以反映和考核单位固定资产使用效率程度。</w:t>
            </w:r>
          </w:p>
        </w:tc>
        <w:tc>
          <w:tcPr>
            <w:tcW w:w="68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jc w:val="center"/>
        </w:trPr>
        <w:tc>
          <w:tcPr>
            <w:tcW w:w="5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产出及效率</w:t>
            </w:r>
          </w:p>
        </w:tc>
        <w:tc>
          <w:tcPr>
            <w:tcW w:w="41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4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履职产出</w:t>
            </w:r>
          </w:p>
        </w:tc>
        <w:tc>
          <w:tcPr>
            <w:tcW w:w="4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7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5999"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宋体" w:hAnsi="宋体" w:eastAsia="宋体" w:cs="宋体"/>
                <w:i w:val="0"/>
                <w:iCs w:val="0"/>
                <w:color w:val="000000"/>
                <w:sz w:val="20"/>
                <w:szCs w:val="20"/>
                <w:u w:val="none"/>
              </w:rPr>
            </w:pPr>
            <w:r>
              <w:rPr>
                <w:rStyle w:val="15"/>
                <w:lang w:val="en-US" w:eastAsia="zh-CN" w:bidi="ar"/>
              </w:rPr>
              <w:t>各单位根据其履职主要工作，结合绩效目标和项目性质，对重点工作计划完成数、产出的质量、产出的时效性和有关成本控制情况，各部门根据实际情况有选择的进行设置，并将其细化为相应的个性化指标。完成绩效目标得满分，只实现</w:t>
            </w:r>
            <w:r>
              <w:rPr>
                <w:rFonts w:hint="default" w:ascii="Times New Roman" w:hAnsi="Times New Roman" w:eastAsia="宋体" w:cs="Times New Roman"/>
                <w:i w:val="0"/>
                <w:iCs w:val="0"/>
                <w:color w:val="000000"/>
                <w:kern w:val="0"/>
                <w:sz w:val="20"/>
                <w:szCs w:val="20"/>
                <w:u w:val="none"/>
                <w:lang w:val="en-US" w:eastAsia="zh-CN" w:bidi="ar"/>
              </w:rPr>
              <w:t>70%</w:t>
            </w:r>
            <w:r>
              <w:rPr>
                <w:rStyle w:val="15"/>
                <w:lang w:val="en-US" w:eastAsia="zh-CN" w:bidi="ar"/>
              </w:rPr>
              <w:t>（含）以上得</w:t>
            </w:r>
            <w:r>
              <w:rPr>
                <w:rFonts w:hint="default" w:ascii="Times New Roman" w:hAnsi="Times New Roman" w:eastAsia="宋体" w:cs="Times New Roman"/>
                <w:i w:val="0"/>
                <w:iCs w:val="0"/>
                <w:color w:val="000000"/>
                <w:kern w:val="0"/>
                <w:sz w:val="20"/>
                <w:szCs w:val="20"/>
                <w:u w:val="none"/>
                <w:lang w:val="en-US" w:eastAsia="zh-CN" w:bidi="ar"/>
              </w:rPr>
              <w:t>4</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t>70%</w:t>
            </w:r>
            <w:r>
              <w:rPr>
                <w:rStyle w:val="15"/>
                <w:lang w:val="en-US" w:eastAsia="zh-CN" w:bidi="ar"/>
              </w:rPr>
              <w:t>以下不得分。</w:t>
            </w:r>
          </w:p>
        </w:tc>
        <w:tc>
          <w:tcPr>
            <w:tcW w:w="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履职 效益</w:t>
            </w: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效益</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5999" w:type="dxa"/>
            <w:gridSpan w:val="2"/>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此两项指标为设置部门整体支出绩效评价指标时必须考虑的共性要素，可根据部门实际情况有选择的进行设置，并将其细化为相应的个性化指标。</w:t>
            </w:r>
            <w:r>
              <w:rPr>
                <w:rStyle w:val="15"/>
                <w:lang w:val="en-US" w:eastAsia="zh-CN" w:bidi="ar"/>
              </w:rPr>
              <w:t>完成绩效目标得满分，只实现</w:t>
            </w:r>
            <w:r>
              <w:rPr>
                <w:rFonts w:hint="default" w:ascii="Times New Roman" w:hAnsi="Times New Roman" w:eastAsia="宋体" w:cs="Times New Roman"/>
                <w:i w:val="0"/>
                <w:iCs w:val="0"/>
                <w:color w:val="000000"/>
                <w:kern w:val="0"/>
                <w:sz w:val="20"/>
                <w:szCs w:val="20"/>
                <w:u w:val="none"/>
                <w:lang w:val="en-US" w:eastAsia="zh-CN" w:bidi="ar"/>
              </w:rPr>
              <w:t>70%</w:t>
            </w:r>
            <w:r>
              <w:rPr>
                <w:rStyle w:val="15"/>
                <w:lang w:val="en-US" w:eastAsia="zh-CN" w:bidi="ar"/>
              </w:rPr>
              <w:t>（含）以上得</w:t>
            </w:r>
            <w:r>
              <w:rPr>
                <w:rFonts w:hint="default" w:ascii="Times New Roman" w:hAnsi="Times New Roman" w:eastAsia="宋体" w:cs="Times New Roman"/>
                <w:i w:val="0"/>
                <w:iCs w:val="0"/>
                <w:color w:val="000000"/>
                <w:kern w:val="0"/>
                <w:sz w:val="20"/>
                <w:szCs w:val="20"/>
                <w:u w:val="none"/>
                <w:lang w:val="en-US" w:eastAsia="zh-CN" w:bidi="ar"/>
              </w:rPr>
              <w:t>3</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t>70%</w:t>
            </w:r>
            <w:r>
              <w:rPr>
                <w:rStyle w:val="15"/>
                <w:lang w:val="en-US" w:eastAsia="zh-CN" w:bidi="ar"/>
              </w:rPr>
              <w:t>以下不得分。</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5999"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效益</w:t>
            </w: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5999"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5999"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7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效能</w:t>
            </w:r>
          </w:p>
        </w:tc>
        <w:tc>
          <w:tcPr>
            <w:tcW w:w="5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32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促进部门改进文风会风，加强经费及资产管理，推动网上办事，提高行政效率，降低行政成本效果较好的计6</w:t>
            </w:r>
            <w:r>
              <w:rPr>
                <w:rStyle w:val="15"/>
                <w:lang w:val="en-US" w:eastAsia="zh-CN" w:bidi="ar"/>
              </w:rPr>
              <w:t>分；一般</w:t>
            </w:r>
            <w:r>
              <w:rPr>
                <w:rFonts w:hint="default" w:ascii="Times New Roman" w:hAnsi="Times New Roman" w:eastAsia="宋体" w:cs="Times New Roman"/>
                <w:i w:val="0"/>
                <w:iCs w:val="0"/>
                <w:color w:val="000000"/>
                <w:kern w:val="0"/>
                <w:sz w:val="20"/>
                <w:szCs w:val="20"/>
                <w:u w:val="none"/>
                <w:lang w:val="en-US" w:eastAsia="zh-CN" w:bidi="ar"/>
              </w:rPr>
              <w:t>3</w:t>
            </w:r>
            <w:r>
              <w:rPr>
                <w:rStyle w:val="15"/>
                <w:lang w:val="en-US" w:eastAsia="zh-CN" w:bidi="ar"/>
              </w:rPr>
              <w:t>分；无效果或者效果不明显</w:t>
            </w:r>
            <w:r>
              <w:rPr>
                <w:rFonts w:hint="default" w:ascii="Times New Roman" w:hAnsi="Times New Roman" w:eastAsia="宋体" w:cs="Times New Roman"/>
                <w:i w:val="0"/>
                <w:iCs w:val="0"/>
                <w:color w:val="000000"/>
                <w:kern w:val="0"/>
                <w:sz w:val="20"/>
                <w:szCs w:val="20"/>
                <w:u w:val="none"/>
                <w:lang w:val="en-US" w:eastAsia="zh-CN" w:bidi="ar"/>
              </w:rPr>
              <w:t>0</w:t>
            </w:r>
            <w:r>
              <w:rPr>
                <w:rStyle w:val="15"/>
                <w:lang w:val="en-US" w:eastAsia="zh-CN" w:bidi="ar"/>
              </w:rPr>
              <w:t>分。</w:t>
            </w:r>
          </w:p>
        </w:tc>
        <w:tc>
          <w:tcPr>
            <w:tcW w:w="27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根据部门实际情况评定。</w:t>
            </w:r>
          </w:p>
        </w:tc>
        <w:tc>
          <w:tcPr>
            <w:tcW w:w="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7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w:t>
            </w:r>
            <w:r>
              <w:rPr>
                <w:rStyle w:val="15"/>
                <w:lang w:val="en-US" w:eastAsia="zh-CN" w:bidi="ar"/>
              </w:rPr>
              <w:t>公众或服务对象</w:t>
            </w:r>
            <w:r>
              <w:rPr>
                <w:rStyle w:val="15"/>
                <w:lang w:val="en-US" w:eastAsia="zh-CN" w:bidi="ar"/>
              </w:rPr>
              <w:br w:type="textWrapping"/>
            </w:r>
            <w:r>
              <w:rPr>
                <w:rStyle w:val="15"/>
                <w:lang w:val="en-US" w:eastAsia="zh-CN" w:bidi="ar"/>
              </w:rPr>
              <w:t>满意度</w:t>
            </w:r>
          </w:p>
        </w:tc>
        <w:tc>
          <w:tcPr>
            <w:tcW w:w="5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32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r>
              <w:rPr>
                <w:rStyle w:val="15"/>
                <w:lang w:val="en-US" w:eastAsia="zh-CN" w:bidi="ar"/>
              </w:rPr>
              <w:t>（含）以上计</w:t>
            </w:r>
            <w:r>
              <w:rPr>
                <w:rFonts w:hint="default" w:ascii="Times New Roman" w:hAnsi="Times New Roman" w:eastAsia="宋体" w:cs="Times New Roman"/>
                <w:i w:val="0"/>
                <w:iCs w:val="0"/>
                <w:color w:val="000000"/>
                <w:kern w:val="0"/>
                <w:sz w:val="20"/>
                <w:szCs w:val="20"/>
                <w:u w:val="none"/>
                <w:lang w:val="en-US" w:eastAsia="zh-CN" w:bidi="ar"/>
              </w:rPr>
              <w:t>6</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80%</w:t>
            </w:r>
            <w:r>
              <w:rPr>
                <w:rStyle w:val="15"/>
                <w:lang w:val="en-US" w:eastAsia="zh-CN" w:bidi="ar"/>
              </w:rPr>
              <w:t>（含）</w:t>
            </w:r>
            <w:r>
              <w:rPr>
                <w:rFonts w:hint="default" w:ascii="Times New Roman" w:hAnsi="Times New Roman" w:eastAsia="宋体" w:cs="Times New Roman"/>
                <w:i w:val="0"/>
                <w:iCs w:val="0"/>
                <w:color w:val="000000"/>
                <w:kern w:val="0"/>
                <w:sz w:val="20"/>
                <w:szCs w:val="20"/>
                <w:u w:val="none"/>
                <w:lang w:val="en-US" w:eastAsia="zh-CN" w:bidi="ar"/>
              </w:rPr>
              <w:t>-90%</w:t>
            </w:r>
            <w:r>
              <w:rPr>
                <w:rStyle w:val="15"/>
                <w:lang w:val="en-US" w:eastAsia="zh-CN" w:bidi="ar"/>
              </w:rPr>
              <w:t>，计</w:t>
            </w:r>
            <w:r>
              <w:rPr>
                <w:rFonts w:hint="default" w:ascii="Times New Roman" w:hAnsi="Times New Roman" w:eastAsia="宋体" w:cs="Times New Roman"/>
                <w:i w:val="0"/>
                <w:iCs w:val="0"/>
                <w:color w:val="000000"/>
                <w:kern w:val="0"/>
                <w:sz w:val="20"/>
                <w:szCs w:val="20"/>
                <w:u w:val="none"/>
                <w:lang w:val="en-US" w:eastAsia="zh-CN" w:bidi="ar"/>
              </w:rPr>
              <w:t>4</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70%</w:t>
            </w:r>
            <w:r>
              <w:rPr>
                <w:rStyle w:val="15"/>
                <w:lang w:val="en-US" w:eastAsia="zh-CN" w:bidi="ar"/>
              </w:rPr>
              <w:t>（含）</w:t>
            </w:r>
            <w:r>
              <w:rPr>
                <w:rFonts w:hint="default" w:ascii="Times New Roman" w:hAnsi="Times New Roman" w:eastAsia="宋体" w:cs="Times New Roman"/>
                <w:i w:val="0"/>
                <w:iCs w:val="0"/>
                <w:color w:val="000000"/>
                <w:kern w:val="0"/>
                <w:sz w:val="20"/>
                <w:szCs w:val="20"/>
                <w:u w:val="none"/>
                <w:lang w:val="en-US" w:eastAsia="zh-CN" w:bidi="ar"/>
              </w:rPr>
              <w:t>-80%</w:t>
            </w:r>
            <w:r>
              <w:rPr>
                <w:rStyle w:val="15"/>
                <w:lang w:val="en-US" w:eastAsia="zh-CN" w:bidi="ar"/>
              </w:rPr>
              <w:t>，计</w:t>
            </w:r>
            <w:r>
              <w:rPr>
                <w:rFonts w:hint="default" w:ascii="Times New Roman" w:hAnsi="Times New Roman" w:eastAsia="宋体" w:cs="Times New Roman"/>
                <w:i w:val="0"/>
                <w:iCs w:val="0"/>
                <w:color w:val="000000"/>
                <w:kern w:val="0"/>
                <w:sz w:val="20"/>
                <w:szCs w:val="20"/>
                <w:u w:val="none"/>
                <w:lang w:val="en-US" w:eastAsia="zh-CN" w:bidi="ar"/>
              </w:rPr>
              <w:t>2</w:t>
            </w:r>
            <w:r>
              <w:rPr>
                <w:rStyle w:val="15"/>
                <w:lang w:val="en-US" w:eastAsia="zh-CN" w:bidi="ar"/>
              </w:rPr>
              <w:t>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5"/>
                <w:lang w:val="en-US" w:eastAsia="zh-CN" w:bidi="ar"/>
              </w:rPr>
              <w:t>低于70%计0分。</w:t>
            </w:r>
          </w:p>
        </w:tc>
        <w:tc>
          <w:tcPr>
            <w:tcW w:w="27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社会公众或服务对象是指部门（单位）履行职责而影响到的部门、群体或个人，一般采取社会调查的方式。</w:t>
            </w:r>
          </w:p>
        </w:tc>
        <w:tc>
          <w:tcPr>
            <w:tcW w:w="6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default" w:ascii="Times New Roman" w:hAnsi="Times New Roman" w:eastAsia="宋体" w:cs="Times New Roman"/>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default" w:ascii="Times New Roman" w:hAnsi="Times New Roman" w:eastAsia="宋体" w:cs="Times New Roman"/>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7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eastAsia" w:ascii="宋体" w:hAnsi="宋体" w:eastAsia="宋体" w:cs="宋体"/>
                <w:i w:val="0"/>
                <w:iCs w:val="0"/>
                <w:color w:val="000000"/>
                <w:sz w:val="20"/>
                <w:szCs w:val="20"/>
                <w:u w:val="none"/>
              </w:rPr>
            </w:pPr>
          </w:p>
        </w:tc>
        <w:tc>
          <w:tcPr>
            <w:tcW w:w="5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0"/>
                <w:szCs w:val="20"/>
                <w:u w:val="none"/>
              </w:rPr>
            </w:pPr>
          </w:p>
        </w:tc>
        <w:tc>
          <w:tcPr>
            <w:tcW w:w="32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default" w:ascii="Times New Roman" w:hAnsi="Times New Roman" w:eastAsia="宋体" w:cs="Times New Roman"/>
                <w:i w:val="0"/>
                <w:iCs w:val="0"/>
                <w:color w:val="000000"/>
                <w:sz w:val="20"/>
                <w:szCs w:val="20"/>
                <w:u w:val="none"/>
              </w:rPr>
            </w:pPr>
          </w:p>
        </w:tc>
        <w:tc>
          <w:tcPr>
            <w:tcW w:w="27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jc w:val="center"/>
        </w:trPr>
        <w:tc>
          <w:tcPr>
            <w:tcW w:w="255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9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default" w:ascii="Times New Roman" w:hAnsi="Times New Roman" w:eastAsia="宋体" w:cs="Times New Roman"/>
                <w:i w:val="0"/>
                <w:iCs w:val="0"/>
                <w:color w:val="000000"/>
                <w:sz w:val="20"/>
                <w:szCs w:val="20"/>
                <w:u w:val="none"/>
              </w:rPr>
            </w:pPr>
          </w:p>
        </w:tc>
        <w:tc>
          <w:tcPr>
            <w:tcW w:w="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85.5</w:t>
            </w:r>
          </w:p>
        </w:tc>
      </w:tr>
    </w:tbl>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heme="minorEastAsia" w:hAnsiTheme="minorEastAsia" w:eastAsiaTheme="minorEastAsia"/>
          <w:sz w:val="2"/>
          <w:szCs w:val="2"/>
        </w:rPr>
      </w:pPr>
    </w:p>
    <w:sectPr>
      <w:footerReference r:id="rId3" w:type="default"/>
      <w:pgSz w:w="11906" w:h="16838"/>
      <w:pgMar w:top="1814" w:right="1701" w:bottom="1440" w:left="1701"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5</w:t>
                </w:r>
                <w:r>
                  <w:rPr>
                    <w:rFonts w:ascii="Times New Roman" w:hAnsi="Times New Roman"/>
                    <w:sz w:val="24"/>
                  </w:rPr>
                  <w:fldChar w:fldCharType="end"/>
                </w:r>
                <w:r>
                  <w:rPr>
                    <w:rFonts w:ascii="Times New Roman" w:hAnsi="Times New Roman"/>
                    <w:sz w:val="2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k3OThjYmRhNGQzNzBkNDY1YTVjM2I1NTRlNTRhMzAifQ=="/>
  </w:docVars>
  <w:rsids>
    <w:rsidRoot w:val="002B034B"/>
    <w:rsid w:val="00013FC6"/>
    <w:rsid w:val="00026DC2"/>
    <w:rsid w:val="000A6853"/>
    <w:rsid w:val="001033C5"/>
    <w:rsid w:val="001C56A4"/>
    <w:rsid w:val="00251DF7"/>
    <w:rsid w:val="00281908"/>
    <w:rsid w:val="002B034B"/>
    <w:rsid w:val="002C5D81"/>
    <w:rsid w:val="002F03A5"/>
    <w:rsid w:val="00373C17"/>
    <w:rsid w:val="003820E1"/>
    <w:rsid w:val="003C5CE8"/>
    <w:rsid w:val="003D6065"/>
    <w:rsid w:val="003F41A9"/>
    <w:rsid w:val="00412440"/>
    <w:rsid w:val="00436FE5"/>
    <w:rsid w:val="004655BF"/>
    <w:rsid w:val="0048007C"/>
    <w:rsid w:val="004B22A4"/>
    <w:rsid w:val="00581F7B"/>
    <w:rsid w:val="00586062"/>
    <w:rsid w:val="005A60C0"/>
    <w:rsid w:val="00624028"/>
    <w:rsid w:val="006F742F"/>
    <w:rsid w:val="007D0E51"/>
    <w:rsid w:val="007D310D"/>
    <w:rsid w:val="008A3923"/>
    <w:rsid w:val="008F4DCC"/>
    <w:rsid w:val="00950EA4"/>
    <w:rsid w:val="00984F7D"/>
    <w:rsid w:val="009B0799"/>
    <w:rsid w:val="00A15728"/>
    <w:rsid w:val="00A80BC9"/>
    <w:rsid w:val="00AC5C31"/>
    <w:rsid w:val="00AD466A"/>
    <w:rsid w:val="00B8502C"/>
    <w:rsid w:val="00BB1D69"/>
    <w:rsid w:val="00C861EB"/>
    <w:rsid w:val="00D46AF9"/>
    <w:rsid w:val="00D826DC"/>
    <w:rsid w:val="00DF7CDE"/>
    <w:rsid w:val="00E22EDF"/>
    <w:rsid w:val="00E90630"/>
    <w:rsid w:val="00F1755D"/>
    <w:rsid w:val="00F642B8"/>
    <w:rsid w:val="00F74F63"/>
    <w:rsid w:val="00F96E26"/>
    <w:rsid w:val="00FF3544"/>
    <w:rsid w:val="04464D0C"/>
    <w:rsid w:val="054A311E"/>
    <w:rsid w:val="08DC2D81"/>
    <w:rsid w:val="1299771C"/>
    <w:rsid w:val="13512858"/>
    <w:rsid w:val="19974403"/>
    <w:rsid w:val="1A380AE3"/>
    <w:rsid w:val="1CCC01EC"/>
    <w:rsid w:val="284151DD"/>
    <w:rsid w:val="2FE37DD1"/>
    <w:rsid w:val="30C32E32"/>
    <w:rsid w:val="31E258DF"/>
    <w:rsid w:val="35951735"/>
    <w:rsid w:val="3BD522AD"/>
    <w:rsid w:val="3C506DBA"/>
    <w:rsid w:val="3CD30364"/>
    <w:rsid w:val="3D2F02B7"/>
    <w:rsid w:val="3F155E94"/>
    <w:rsid w:val="40454462"/>
    <w:rsid w:val="466B3DEA"/>
    <w:rsid w:val="4A8D38E1"/>
    <w:rsid w:val="507C7BA0"/>
    <w:rsid w:val="521E4A77"/>
    <w:rsid w:val="5265391D"/>
    <w:rsid w:val="53E314E7"/>
    <w:rsid w:val="56AB2D7B"/>
    <w:rsid w:val="5C0A01E1"/>
    <w:rsid w:val="5D71056D"/>
    <w:rsid w:val="6CF4496F"/>
    <w:rsid w:val="70B44422"/>
    <w:rsid w:val="711F71F5"/>
    <w:rsid w:val="761D5003"/>
    <w:rsid w:val="79A77F98"/>
    <w:rsid w:val="79E00438"/>
    <w:rsid w:val="7EDA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ascii="Times New Roman" w:hAnsi="Times New Roman"/>
      <w:kern w:val="0"/>
      <w:sz w:val="24"/>
    </w:rPr>
  </w:style>
  <w:style w:type="character" w:styleId="7">
    <w:name w:val="Strong"/>
    <w:basedOn w:val="6"/>
    <w:qFormat/>
    <w:uiPriority w:val="22"/>
    <w:rPr>
      <w:b/>
      <w:bCs/>
    </w:rPr>
  </w:style>
  <w:style w:type="paragraph" w:styleId="8">
    <w:name w:val="List Paragraph"/>
    <w:basedOn w:val="1"/>
    <w:qFormat/>
    <w:uiPriority w:val="99"/>
    <w:pPr>
      <w:ind w:firstLine="420" w:firstLineChars="200"/>
    </w:pPr>
    <w:rPr>
      <w:rFonts w:asciiTheme="minorHAnsi" w:hAnsiTheme="minorHAnsi" w:eastAsiaTheme="minorEastAsia" w:cstheme="minorBidi"/>
      <w:szCs w:val="22"/>
    </w:rPr>
  </w:style>
  <w:style w:type="paragraph" w:customStyle="1" w:styleId="9">
    <w:name w:val="western"/>
    <w:basedOn w:val="1"/>
    <w:qFormat/>
    <w:uiPriority w:val="0"/>
    <w:pPr>
      <w:widowControl/>
      <w:spacing w:before="100" w:beforeAutospacing="1" w:after="100" w:afterAutospacing="1" w:line="360" w:lineRule="atLeast"/>
      <w:jc w:val="left"/>
    </w:pPr>
    <w:rPr>
      <w:rFonts w:ascii="宋体" w:hAnsi="宋体" w:cs="宋体"/>
      <w:kern w:val="0"/>
      <w:sz w:val="24"/>
    </w:rPr>
  </w:style>
  <w:style w:type="paragraph" w:customStyle="1" w:styleId="10">
    <w:name w:val="列出段落1"/>
    <w:basedOn w:val="1"/>
    <w:qFormat/>
    <w:uiPriority w:val="0"/>
    <w:pPr>
      <w:wordWrap w:val="0"/>
      <w:spacing w:line="580" w:lineRule="exact"/>
      <w:ind w:firstLine="420" w:firstLineChars="200"/>
    </w:pPr>
    <w:rPr>
      <w:rFonts w:ascii="Times New Roman" w:hAnsi="Times New Roman"/>
      <w:sz w:val="32"/>
      <w:szCs w:val="32"/>
    </w:rPr>
  </w:style>
  <w:style w:type="character" w:customStyle="1" w:styleId="11">
    <w:name w:val="font101"/>
    <w:basedOn w:val="6"/>
    <w:uiPriority w:val="0"/>
    <w:rPr>
      <w:rFonts w:hint="eastAsia" w:ascii="黑体" w:hAnsi="宋体" w:eastAsia="黑体" w:cs="黑体"/>
      <w:color w:val="000000"/>
      <w:sz w:val="20"/>
      <w:szCs w:val="20"/>
      <w:u w:val="none"/>
    </w:rPr>
  </w:style>
  <w:style w:type="character" w:customStyle="1" w:styleId="12">
    <w:name w:val="font112"/>
    <w:basedOn w:val="6"/>
    <w:uiPriority w:val="0"/>
    <w:rPr>
      <w:rFonts w:hint="eastAsia" w:ascii="宋体" w:hAnsi="宋体" w:eastAsia="宋体" w:cs="宋体"/>
      <w:color w:val="000000"/>
      <w:sz w:val="20"/>
      <w:szCs w:val="20"/>
      <w:u w:val="none"/>
    </w:rPr>
  </w:style>
  <w:style w:type="character" w:customStyle="1" w:styleId="13">
    <w:name w:val="font121"/>
    <w:basedOn w:val="6"/>
    <w:uiPriority w:val="0"/>
    <w:rPr>
      <w:rFonts w:hint="eastAsia" w:ascii="宋体" w:hAnsi="宋体" w:eastAsia="宋体" w:cs="宋体"/>
      <w:b/>
      <w:bCs/>
      <w:color w:val="000000"/>
      <w:sz w:val="20"/>
      <w:szCs w:val="20"/>
      <w:u w:val="none"/>
    </w:rPr>
  </w:style>
  <w:style w:type="character" w:customStyle="1" w:styleId="14">
    <w:name w:val="font61"/>
    <w:basedOn w:val="6"/>
    <w:uiPriority w:val="0"/>
    <w:rPr>
      <w:rFonts w:hint="default" w:ascii="Times New Roman" w:hAnsi="Times New Roman" w:cs="Times New Roman"/>
      <w:color w:val="000000"/>
      <w:sz w:val="20"/>
      <w:szCs w:val="20"/>
      <w:u w:val="none"/>
    </w:rPr>
  </w:style>
  <w:style w:type="character" w:customStyle="1" w:styleId="15">
    <w:name w:val="font71"/>
    <w:basedOn w:val="6"/>
    <w:uiPriority w:val="0"/>
    <w:rPr>
      <w:rFonts w:hint="eastAsia" w:ascii="宋体" w:hAnsi="宋体" w:eastAsia="宋体" w:cs="宋体"/>
      <w:color w:val="000000"/>
      <w:sz w:val="20"/>
      <w:szCs w:val="20"/>
      <w:u w:val="none"/>
    </w:rPr>
  </w:style>
  <w:style w:type="paragraph" w:customStyle="1" w:styleId="16">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468</Words>
  <Characters>2674</Characters>
  <Lines>22</Lines>
  <Paragraphs>6</Paragraphs>
  <TotalTime>7</TotalTime>
  <ScaleCrop>false</ScaleCrop>
  <LinksUpToDate>false</LinksUpToDate>
  <CharactersWithSpaces>3136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2020-04-17T07:24:00Z</dcterms:created>
  <dc:creator>Administrator</dc:creator>
  <cp:lastModifiedBy>Administrator</cp:lastModifiedBy>
  <cp:lastPrinted>2023-04-03T03:49:00Z</cp:lastPrinted>
  <dcterms:modified xsi:type="dcterms:W3CDTF">2023-09-15T03:05:51Z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C8E4F9583A3E4875BDB03084AE07348E_12</vt:lpwstr>
  </property>
</Properties>
</file>