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eastAsia="微软雅黑"/>
          <w:sz w:val="44"/>
          <w:szCs w:val="44"/>
          <w:lang w:val="en-US" w:eastAsia="zh-CN"/>
        </w:rPr>
      </w:pPr>
      <w:r>
        <w:rPr>
          <w:rFonts w:hint="eastAsia"/>
          <w:sz w:val="44"/>
          <w:szCs w:val="44"/>
        </w:rPr>
        <w:t>宁乡市交通运输局</w:t>
      </w:r>
      <w:r>
        <w:rPr>
          <w:rFonts w:hint="eastAsia"/>
          <w:sz w:val="44"/>
          <w:szCs w:val="44"/>
          <w:lang w:val="en-US" w:eastAsia="zh-CN"/>
        </w:rPr>
        <w:t>(汇总）</w:t>
      </w:r>
    </w:p>
    <w:p>
      <w:pPr>
        <w:spacing w:line="220" w:lineRule="atLeast"/>
        <w:jc w:val="center"/>
        <w:rPr>
          <w:sz w:val="44"/>
          <w:szCs w:val="44"/>
        </w:rPr>
      </w:pPr>
      <w:r>
        <w:rPr>
          <w:rFonts w:hint="eastAsia"/>
          <w:sz w:val="44"/>
          <w:szCs w:val="44"/>
        </w:rPr>
        <w:t>部门整体支出绩效自评报告</w:t>
      </w:r>
    </w:p>
    <w:p>
      <w:pPr>
        <w:spacing w:line="360" w:lineRule="auto"/>
        <w:rPr>
          <w:sz w:val="32"/>
          <w:szCs w:val="32"/>
        </w:rPr>
      </w:pPr>
      <w:r>
        <w:rPr>
          <w:rFonts w:hint="eastAsia"/>
          <w:sz w:val="32"/>
          <w:szCs w:val="32"/>
        </w:rPr>
        <w:t xml:space="preserve">      一、部门概况</w:t>
      </w:r>
    </w:p>
    <w:p>
      <w:pPr>
        <w:spacing w:line="360" w:lineRule="auto"/>
        <w:ind w:firstLine="600" w:firstLineChars="200"/>
        <w:rPr>
          <w:rFonts w:asciiTheme="minorEastAsia" w:hAnsiTheme="minorEastAsia" w:eastAsiaTheme="minorEastAsia"/>
          <w:bCs/>
          <w:sz w:val="30"/>
          <w:szCs w:val="30"/>
        </w:rPr>
      </w:pPr>
      <w:r>
        <w:rPr>
          <w:rFonts w:hint="eastAsia" w:asciiTheme="minorEastAsia" w:hAnsiTheme="minorEastAsia" w:eastAsiaTheme="minorEastAsia"/>
          <w:sz w:val="30"/>
          <w:szCs w:val="30"/>
        </w:rPr>
        <w:t>（一）</w:t>
      </w:r>
      <w:r>
        <w:rPr>
          <w:rFonts w:hint="eastAsia" w:cs="宋体" w:asciiTheme="minorEastAsia" w:hAnsiTheme="minorEastAsia" w:eastAsiaTheme="minorEastAsia"/>
          <w:sz w:val="30"/>
          <w:szCs w:val="30"/>
        </w:rPr>
        <w:t>我局</w:t>
      </w:r>
      <w:r>
        <w:rPr>
          <w:rFonts w:hint="eastAsia" w:cs="宋体" w:asciiTheme="minorEastAsia" w:hAnsiTheme="minorEastAsia" w:eastAsiaTheme="minorEastAsia"/>
          <w:color w:val="353338"/>
          <w:sz w:val="30"/>
          <w:szCs w:val="30"/>
        </w:rPr>
        <w:t>为宁乡市人民政府组成局，正科级建制，为市财政一级全额预算单位。2020年我局在机构改革中的职能主要是代表市人民政府行使市内交通管理行政职能，全面抓好市级交通管理事权，统筹实施除省管、市管外的全部交通基础设施建设项目，监督管理建设质量，依法做好公路建设、养护和管理工作，抓好道路运输市场的监督管理，并对全市公共客运工作进行管理指导</w:t>
      </w:r>
      <w:r>
        <w:rPr>
          <w:rFonts w:hint="eastAsia" w:cs="宋体" w:asciiTheme="minorEastAsia" w:hAnsiTheme="minorEastAsia" w:eastAsiaTheme="minorEastAsia"/>
          <w:sz w:val="30"/>
          <w:szCs w:val="30"/>
        </w:rPr>
        <w:t>。2020年末</w:t>
      </w:r>
      <w:r>
        <w:rPr>
          <w:rFonts w:hint="eastAsia" w:cs="Times New Roman" w:asciiTheme="minorEastAsia" w:hAnsiTheme="minorEastAsia" w:eastAsiaTheme="minorEastAsia"/>
          <w:kern w:val="2"/>
          <w:sz w:val="30"/>
          <w:szCs w:val="30"/>
          <w:lang w:val="zh-CN"/>
        </w:rPr>
        <w:t>我局在机构改革中对涉及的部门职能职责进行调整，初步成立以交通综合执法大队、公共交通事务中心、公路养护中心、交通建设质量监督站、玉潭交管站（含13个交管站）为主体构建的交通体系。</w:t>
      </w:r>
      <w:r>
        <w:rPr>
          <w:rFonts w:hint="eastAsia" w:asciiTheme="minorEastAsia" w:hAnsiTheme="minorEastAsia" w:eastAsiaTheme="minorEastAsia"/>
          <w:sz w:val="30"/>
          <w:szCs w:val="30"/>
        </w:rPr>
        <w:t>年末</w:t>
      </w:r>
      <w:r>
        <w:rPr>
          <w:rFonts w:hint="eastAsia" w:asciiTheme="minorEastAsia" w:hAnsiTheme="minorEastAsia" w:eastAsiaTheme="minorEastAsia"/>
          <w:sz w:val="30"/>
          <w:szCs w:val="30"/>
          <w:lang w:eastAsia="zh-CN"/>
        </w:rPr>
        <w:t>实有</w:t>
      </w:r>
      <w:r>
        <w:rPr>
          <w:rFonts w:hint="eastAsia" w:asciiTheme="minorEastAsia" w:hAnsiTheme="minorEastAsia" w:eastAsiaTheme="minorEastAsia"/>
          <w:sz w:val="30"/>
          <w:szCs w:val="30"/>
        </w:rPr>
        <w:t>在职人员</w:t>
      </w:r>
      <w:r>
        <w:rPr>
          <w:rFonts w:hint="eastAsia" w:asciiTheme="minorEastAsia" w:hAnsiTheme="minorEastAsia" w:eastAsiaTheme="minorEastAsia"/>
          <w:sz w:val="30"/>
          <w:szCs w:val="30"/>
          <w:lang w:val="en-US" w:eastAsia="zh-CN"/>
        </w:rPr>
        <w:t>650</w:t>
      </w:r>
      <w:r>
        <w:rPr>
          <w:rFonts w:hint="eastAsia" w:asciiTheme="minorEastAsia" w:hAnsiTheme="minorEastAsia" w:eastAsiaTheme="minorEastAsia"/>
          <w:sz w:val="30"/>
          <w:szCs w:val="30"/>
        </w:rPr>
        <w:t>人，</w:t>
      </w:r>
      <w:r>
        <w:rPr>
          <w:rFonts w:hint="eastAsia" w:asciiTheme="minorEastAsia" w:hAnsiTheme="minorEastAsia" w:eastAsiaTheme="minorEastAsia"/>
          <w:bCs/>
          <w:sz w:val="30"/>
          <w:szCs w:val="30"/>
        </w:rPr>
        <w:t>交通涉改人员44人，其他临时人员54人。</w:t>
      </w:r>
    </w:p>
    <w:p>
      <w:pPr>
        <w:spacing w:line="360" w:lineRule="auto"/>
        <w:ind w:firstLine="600" w:firstLineChars="200"/>
        <w:rPr>
          <w:rFonts w:cs="仿宋_GB2312" w:asciiTheme="minorEastAsia" w:hAnsiTheme="minorEastAsia" w:eastAsiaTheme="minorEastAsia"/>
          <w:sz w:val="30"/>
          <w:szCs w:val="30"/>
        </w:rPr>
      </w:pPr>
      <w:r>
        <w:rPr>
          <w:rFonts w:hint="eastAsia" w:asciiTheme="minorEastAsia" w:hAnsiTheme="minorEastAsia" w:eastAsiaTheme="minorEastAsia"/>
          <w:bCs/>
          <w:sz w:val="30"/>
          <w:szCs w:val="30"/>
        </w:rPr>
        <w:t>（二）</w:t>
      </w:r>
      <w:r>
        <w:rPr>
          <w:rFonts w:hint="eastAsia" w:asciiTheme="minorEastAsia" w:hAnsiTheme="minorEastAsia" w:eastAsiaTheme="minorEastAsia"/>
          <w:sz w:val="30"/>
          <w:szCs w:val="30"/>
        </w:rPr>
        <w:t>2020年，我单位收入</w:t>
      </w:r>
      <w:r>
        <w:rPr>
          <w:rFonts w:hint="eastAsia" w:asciiTheme="minorEastAsia" w:hAnsiTheme="minorEastAsia" w:eastAsiaTheme="minorEastAsia"/>
          <w:sz w:val="30"/>
          <w:szCs w:val="30"/>
          <w:lang w:eastAsia="zh-CN"/>
        </w:rPr>
        <w:t>合计</w:t>
      </w:r>
      <w:r>
        <w:rPr>
          <w:rFonts w:hint="eastAsia" w:ascii="Times New Roman" w:hAnsi="Times New Roman" w:eastAsia="仿宋_GB2312" w:cs="Times New Roman"/>
          <w:color w:val="auto"/>
          <w:sz w:val="32"/>
          <w:szCs w:val="32"/>
          <w:u w:val="none"/>
          <w:lang w:val="en-US" w:eastAsia="zh-CN"/>
        </w:rPr>
        <w:t>83952.42</w:t>
      </w:r>
      <w:r>
        <w:rPr>
          <w:rFonts w:hint="eastAsia" w:asciiTheme="minorEastAsia" w:hAnsiTheme="minorEastAsia" w:eastAsiaTheme="minorEastAsia"/>
          <w:sz w:val="30"/>
          <w:szCs w:val="30"/>
          <w:u w:val="none"/>
        </w:rPr>
        <w:t>万元</w:t>
      </w:r>
      <w:r>
        <w:rPr>
          <w:rFonts w:hint="eastAsia" w:asciiTheme="minorEastAsia" w:hAnsiTheme="minorEastAsia" w:eastAsiaTheme="minorEastAsia"/>
          <w:sz w:val="30"/>
          <w:szCs w:val="30"/>
        </w:rPr>
        <w:t>；</w:t>
      </w:r>
      <w:r>
        <w:rPr>
          <w:rFonts w:hint="eastAsia" w:asciiTheme="minorEastAsia" w:hAnsiTheme="minorEastAsia" w:eastAsiaTheme="minorEastAsia"/>
          <w:sz w:val="30"/>
          <w:szCs w:val="30"/>
          <w:lang w:eastAsia="zh-CN"/>
        </w:rPr>
        <w:t>支出合计</w:t>
      </w:r>
      <w:r>
        <w:rPr>
          <w:rFonts w:hint="eastAsia" w:asciiTheme="minorEastAsia" w:hAnsiTheme="minorEastAsia" w:eastAsiaTheme="minorEastAsia"/>
          <w:sz w:val="30"/>
          <w:szCs w:val="30"/>
          <w:lang w:val="en-US" w:eastAsia="zh-CN"/>
        </w:rPr>
        <w:t>83952.42</w:t>
      </w:r>
      <w:r>
        <w:rPr>
          <w:rFonts w:hint="eastAsia" w:asciiTheme="minorEastAsia" w:hAnsiTheme="minorEastAsia" w:eastAsiaTheme="minorEastAsia"/>
          <w:sz w:val="30"/>
          <w:szCs w:val="30"/>
        </w:rPr>
        <w:t>万元，其中：基本支出</w:t>
      </w:r>
      <w:r>
        <w:rPr>
          <w:rFonts w:hint="eastAsia" w:ascii="Times New Roman" w:hAnsi="Times New Roman" w:eastAsia="仿宋_GB2312" w:cs="Times New Roman"/>
          <w:color w:val="auto"/>
          <w:sz w:val="32"/>
          <w:szCs w:val="32"/>
          <w:u w:val="none"/>
          <w:lang w:val="en-US" w:eastAsia="zh-CN"/>
        </w:rPr>
        <w:t>10281.9</w:t>
      </w:r>
      <w:r>
        <w:rPr>
          <w:rFonts w:hint="eastAsia" w:asciiTheme="minorEastAsia" w:hAnsiTheme="minorEastAsia" w:eastAsiaTheme="minorEastAsia"/>
          <w:sz w:val="30"/>
          <w:szCs w:val="30"/>
        </w:rPr>
        <w:t>万元，占比</w:t>
      </w:r>
      <w:r>
        <w:rPr>
          <w:rFonts w:hint="eastAsia" w:asciiTheme="minorEastAsia" w:hAnsiTheme="minorEastAsia" w:eastAsiaTheme="minorEastAsia"/>
          <w:sz w:val="30"/>
          <w:szCs w:val="30"/>
          <w:lang w:val="en-US" w:eastAsia="zh-CN"/>
        </w:rPr>
        <w:t>12.25</w:t>
      </w:r>
      <w:r>
        <w:rPr>
          <w:rFonts w:hint="eastAsia" w:asciiTheme="minorEastAsia" w:hAnsiTheme="minorEastAsia" w:eastAsiaTheme="minorEastAsia"/>
          <w:sz w:val="30"/>
          <w:szCs w:val="30"/>
        </w:rPr>
        <w:t>%，项目支出</w:t>
      </w:r>
      <w:r>
        <w:rPr>
          <w:rFonts w:hint="eastAsia" w:ascii="Times New Roman" w:hAnsi="Times New Roman" w:eastAsia="仿宋_GB2312" w:cs="Times New Roman"/>
          <w:color w:val="auto"/>
          <w:sz w:val="32"/>
          <w:szCs w:val="32"/>
          <w:u w:val="none"/>
          <w:lang w:val="en-US" w:eastAsia="zh-CN"/>
        </w:rPr>
        <w:t>73670.5</w:t>
      </w:r>
      <w:r>
        <w:rPr>
          <w:rFonts w:hint="eastAsia" w:asciiTheme="minorEastAsia" w:hAnsiTheme="minorEastAsia" w:eastAsiaTheme="minorEastAsia"/>
          <w:sz w:val="30"/>
          <w:szCs w:val="30"/>
        </w:rPr>
        <w:t>万元，占比</w:t>
      </w:r>
      <w:r>
        <w:rPr>
          <w:rFonts w:hint="eastAsia" w:asciiTheme="minorEastAsia" w:hAnsiTheme="minorEastAsia" w:eastAsiaTheme="minorEastAsia"/>
          <w:sz w:val="30"/>
          <w:szCs w:val="30"/>
          <w:lang w:val="en-US" w:eastAsia="zh-CN"/>
        </w:rPr>
        <w:t>87.75</w:t>
      </w:r>
      <w:r>
        <w:rPr>
          <w:rFonts w:hint="eastAsia" w:asciiTheme="minorEastAsia" w:hAnsiTheme="minorEastAsia" w:eastAsiaTheme="minorEastAsia"/>
          <w:sz w:val="30"/>
          <w:szCs w:val="30"/>
        </w:rPr>
        <w:t>%，主要为</w:t>
      </w:r>
      <w:r>
        <w:rPr>
          <w:rFonts w:hint="eastAsia" w:cs="仿宋_GB2312" w:asciiTheme="minorEastAsia" w:hAnsiTheme="minorEastAsia" w:eastAsiaTheme="minorEastAsia"/>
          <w:sz w:val="30"/>
          <w:szCs w:val="30"/>
        </w:rPr>
        <w:t>公路项目建设</w:t>
      </w:r>
      <w:r>
        <w:rPr>
          <w:rFonts w:hint="eastAsia" w:cs="仿宋_GB2312" w:asciiTheme="minorEastAsia" w:hAnsiTheme="minorEastAsia" w:eastAsiaTheme="minorEastAsia"/>
          <w:sz w:val="30"/>
          <w:szCs w:val="30"/>
          <w:lang w:eastAsia="zh-CN"/>
        </w:rPr>
        <w:t>资金、公路建设养护</w:t>
      </w:r>
      <w:r>
        <w:rPr>
          <w:rFonts w:hint="eastAsia" w:cs="仿宋_GB2312" w:asciiTheme="minorEastAsia" w:hAnsiTheme="minorEastAsia" w:eastAsiaTheme="minorEastAsia"/>
          <w:sz w:val="30"/>
          <w:szCs w:val="30"/>
        </w:rPr>
        <w:t>资金、对城市公交的补助支出、对农村道路客运的补贴支出、对出租车的补贴支出、治超工作经费、政府购买中介服务费、治超站卸载场等资金。</w:t>
      </w:r>
    </w:p>
    <w:p>
      <w:pPr>
        <w:ind w:firstLine="600" w:firstLineChars="200"/>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二、部门整体支出管理及使用情况</w:t>
      </w:r>
    </w:p>
    <w:p>
      <w:pPr>
        <w:ind w:firstLine="600" w:firstLineChars="200"/>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（一）基本支出</w:t>
      </w:r>
    </w:p>
    <w:p>
      <w:pPr>
        <w:spacing w:line="360" w:lineRule="auto"/>
        <w:ind w:firstLine="600" w:firstLineChars="200"/>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基本支出主要为工资福利支出、对个人家庭的补助、商品和服务支出中的公用经费支出。我局2020年基本支出</w:t>
      </w:r>
      <w:r>
        <w:rPr>
          <w:rFonts w:hint="eastAsia" w:ascii="Times New Roman" w:hAnsi="Times New Roman" w:eastAsia="仿宋_GB2312" w:cs="Times New Roman"/>
          <w:color w:val="auto"/>
          <w:sz w:val="32"/>
          <w:szCs w:val="32"/>
          <w:u w:val="none"/>
          <w:lang w:val="en-US" w:eastAsia="zh-CN"/>
        </w:rPr>
        <w:t>10281.9</w:t>
      </w:r>
      <w:r>
        <w:rPr>
          <w:rFonts w:hint="eastAsia" w:cs="仿宋_GB2312" w:asciiTheme="minorEastAsia" w:hAnsiTheme="minorEastAsia" w:eastAsiaTheme="minorEastAsia"/>
          <w:sz w:val="30"/>
          <w:szCs w:val="30"/>
        </w:rPr>
        <w:t>万元，占整体支出的</w:t>
      </w:r>
      <w:r>
        <w:rPr>
          <w:rFonts w:hint="eastAsia" w:cs="仿宋_GB2312" w:asciiTheme="minorEastAsia" w:hAnsiTheme="minorEastAsia" w:eastAsiaTheme="minorEastAsia"/>
          <w:sz w:val="30"/>
          <w:szCs w:val="30"/>
          <w:lang w:val="en-US" w:eastAsia="zh-CN"/>
        </w:rPr>
        <w:t>12.25</w:t>
      </w:r>
      <w:r>
        <w:rPr>
          <w:rFonts w:hint="eastAsia" w:cs="仿宋_GB2312" w:asciiTheme="minorEastAsia" w:hAnsiTheme="minorEastAsia" w:eastAsiaTheme="minorEastAsia"/>
          <w:sz w:val="30"/>
          <w:szCs w:val="30"/>
        </w:rPr>
        <w:t>%。2020年我局“三公</w:t>
      </w:r>
      <w:r>
        <w:rPr>
          <w:rFonts w:hint="eastAsia" w:cs="仿宋_GB2312" w:asciiTheme="minorEastAsia" w:hAnsiTheme="minorEastAsia" w:eastAsiaTheme="minorEastAsia"/>
          <w:sz w:val="30"/>
          <w:szCs w:val="30"/>
          <w:lang w:eastAsia="zh-CN"/>
        </w:rPr>
        <w:t>”</w:t>
      </w:r>
      <w:r>
        <w:rPr>
          <w:rFonts w:hint="eastAsia" w:cs="仿宋_GB2312" w:asciiTheme="minorEastAsia" w:hAnsiTheme="minorEastAsia" w:eastAsiaTheme="minorEastAsia"/>
          <w:sz w:val="30"/>
          <w:szCs w:val="30"/>
        </w:rPr>
        <w:t>经费支出为</w:t>
      </w:r>
      <w:r>
        <w:rPr>
          <w:rFonts w:ascii="Times New Roman" w:hAnsi="Times New Roman" w:eastAsia="仿宋_GB2312" w:cs="Times New Roman"/>
          <w:color w:val="auto"/>
          <w:sz w:val="32"/>
          <w:szCs w:val="32"/>
          <w:u w:val="single"/>
        </w:rPr>
        <w:t xml:space="preserve"> </w:t>
      </w:r>
      <w:r>
        <w:rPr>
          <w:rFonts w:hint="eastAsia" w:ascii="Times New Roman" w:hAnsi="Times New Roman" w:eastAsia="仿宋_GB2312" w:cs="Times New Roman"/>
          <w:color w:val="auto"/>
          <w:sz w:val="32"/>
          <w:szCs w:val="32"/>
          <w:u w:val="none"/>
          <w:lang w:val="en-US" w:eastAsia="zh-CN"/>
        </w:rPr>
        <w:t>301.25</w:t>
      </w:r>
      <w:r>
        <w:rPr>
          <w:rFonts w:ascii="Times New Roman" w:hAnsi="Times New Roman" w:eastAsia="仿宋_GB2312" w:cs="Times New Roman"/>
          <w:color w:val="auto"/>
          <w:sz w:val="32"/>
          <w:szCs w:val="32"/>
          <w:u w:val="none"/>
        </w:rPr>
        <w:t xml:space="preserve"> </w:t>
      </w:r>
      <w:r>
        <w:rPr>
          <w:rFonts w:hint="eastAsia" w:cs="仿宋_GB2312" w:asciiTheme="minorEastAsia" w:hAnsiTheme="minorEastAsia" w:eastAsiaTheme="minorEastAsia"/>
          <w:sz w:val="30"/>
          <w:szCs w:val="30"/>
        </w:rPr>
        <w:t>万元，其中公务用车购置和维护经费为</w:t>
      </w:r>
      <w:r>
        <w:rPr>
          <w:rFonts w:hint="eastAsia" w:cs="仿宋_GB2312" w:asciiTheme="minorEastAsia" w:hAnsiTheme="minorEastAsia" w:eastAsiaTheme="minorEastAsia"/>
          <w:sz w:val="30"/>
          <w:szCs w:val="30"/>
          <w:lang w:val="en-US" w:eastAsia="zh-CN"/>
        </w:rPr>
        <w:t>157.01</w:t>
      </w:r>
      <w:r>
        <w:rPr>
          <w:rFonts w:hint="eastAsia" w:cs="仿宋_GB2312" w:asciiTheme="minorEastAsia" w:hAnsiTheme="minorEastAsia" w:eastAsiaTheme="minorEastAsia"/>
          <w:sz w:val="30"/>
          <w:szCs w:val="30"/>
        </w:rPr>
        <w:t>万元，公务接待费用为</w:t>
      </w:r>
      <w:r>
        <w:rPr>
          <w:rFonts w:hint="eastAsia" w:cs="仿宋_GB2312" w:asciiTheme="minorEastAsia" w:hAnsiTheme="minorEastAsia" w:eastAsiaTheme="minorEastAsia"/>
          <w:sz w:val="30"/>
          <w:szCs w:val="30"/>
          <w:lang w:val="en-US" w:eastAsia="zh-CN"/>
        </w:rPr>
        <w:t>144.24</w:t>
      </w:r>
      <w:r>
        <w:rPr>
          <w:rFonts w:hint="eastAsia" w:cs="仿宋_GB2312" w:asciiTheme="minorEastAsia" w:hAnsiTheme="minorEastAsia" w:eastAsiaTheme="minorEastAsia"/>
          <w:sz w:val="30"/>
          <w:szCs w:val="30"/>
        </w:rPr>
        <w:t>万元，无出国经费。</w:t>
      </w:r>
    </w:p>
    <w:p>
      <w:pPr>
        <w:ind w:firstLine="600" w:firstLineChars="200"/>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（二）项目支出</w:t>
      </w:r>
    </w:p>
    <w:p>
      <w:pPr>
        <w:spacing w:line="600" w:lineRule="exact"/>
        <w:ind w:firstLine="600" w:firstLineChars="200"/>
        <w:rPr>
          <w:rFonts w:hint="eastAsia" w:asciiTheme="minorEastAsia" w:hAnsiTheme="minorEastAsia" w:eastAsiaTheme="minorEastAsia"/>
          <w:sz w:val="30"/>
          <w:szCs w:val="30"/>
        </w:rPr>
      </w:pPr>
      <w:r>
        <w:rPr>
          <w:rFonts w:hint="eastAsia" w:cs="仿宋_GB2312" w:asciiTheme="minorEastAsia" w:hAnsiTheme="minorEastAsia" w:eastAsiaTheme="minorEastAsia"/>
          <w:sz w:val="30"/>
          <w:szCs w:val="30"/>
        </w:rPr>
        <w:t>2020年我局项目支出为</w:t>
      </w:r>
      <w:r>
        <w:rPr>
          <w:rFonts w:hint="eastAsia" w:ascii="Times New Roman" w:hAnsi="Times New Roman" w:eastAsia="仿宋_GB2312" w:cs="Times New Roman"/>
          <w:color w:val="auto"/>
          <w:sz w:val="32"/>
          <w:szCs w:val="32"/>
          <w:u w:val="none"/>
          <w:lang w:val="en-US" w:eastAsia="zh-CN"/>
        </w:rPr>
        <w:t>73670.5</w:t>
      </w:r>
      <w:r>
        <w:rPr>
          <w:rFonts w:ascii="Times New Roman" w:hAnsi="Times New Roman" w:eastAsia="仿宋_GB2312" w:cs="Times New Roman"/>
          <w:color w:val="auto"/>
          <w:sz w:val="32"/>
          <w:szCs w:val="32"/>
          <w:u w:val="single"/>
        </w:rPr>
        <w:t xml:space="preserve">  </w:t>
      </w:r>
      <w:r>
        <w:rPr>
          <w:rFonts w:ascii="Times New Roman" w:hAnsi="Times New Roman" w:eastAsia="仿宋_GB2312" w:cs="Times New Roman"/>
          <w:color w:val="auto"/>
          <w:sz w:val="32"/>
          <w:szCs w:val="32"/>
        </w:rPr>
        <w:t>万元，</w:t>
      </w:r>
      <w:r>
        <w:rPr>
          <w:rFonts w:hint="eastAsia" w:cs="仿宋_GB2312" w:asciiTheme="minorEastAsia" w:hAnsiTheme="minorEastAsia" w:eastAsiaTheme="minorEastAsia"/>
          <w:sz w:val="30"/>
          <w:szCs w:val="30"/>
        </w:rPr>
        <w:t>占整体支出的</w:t>
      </w:r>
      <w:r>
        <w:rPr>
          <w:rFonts w:hint="eastAsia" w:cs="仿宋_GB2312" w:asciiTheme="minorEastAsia" w:hAnsiTheme="minorEastAsia" w:eastAsiaTheme="minorEastAsia"/>
          <w:sz w:val="30"/>
          <w:szCs w:val="30"/>
          <w:lang w:val="en-US" w:eastAsia="zh-CN"/>
        </w:rPr>
        <w:t>87.75</w:t>
      </w:r>
      <w:r>
        <w:rPr>
          <w:rFonts w:hint="eastAsia" w:cs="仿宋_GB2312" w:asciiTheme="minorEastAsia" w:hAnsiTheme="minorEastAsia" w:eastAsiaTheme="minorEastAsia"/>
          <w:sz w:val="30"/>
          <w:szCs w:val="30"/>
        </w:rPr>
        <w:t>%，项目支出包括路</w:t>
      </w:r>
      <w:r>
        <w:rPr>
          <w:rFonts w:hint="eastAsia" w:cs="仿宋_GB2312" w:asciiTheme="minorEastAsia" w:hAnsiTheme="minorEastAsia" w:eastAsiaTheme="minorEastAsia"/>
          <w:sz w:val="30"/>
          <w:szCs w:val="30"/>
          <w:lang w:eastAsia="zh-CN"/>
        </w:rPr>
        <w:t>公路</w:t>
      </w:r>
      <w:r>
        <w:rPr>
          <w:rFonts w:hint="eastAsia" w:cs="仿宋_GB2312" w:asciiTheme="minorEastAsia" w:hAnsiTheme="minorEastAsia" w:eastAsiaTheme="minorEastAsia"/>
          <w:sz w:val="30"/>
          <w:szCs w:val="30"/>
        </w:rPr>
        <w:t>项目建设资金、</w:t>
      </w:r>
      <w:r>
        <w:rPr>
          <w:rFonts w:hint="eastAsia" w:cs="仿宋_GB2312" w:asciiTheme="minorEastAsia" w:hAnsiTheme="minorEastAsia" w:eastAsiaTheme="minorEastAsia"/>
          <w:sz w:val="30"/>
          <w:szCs w:val="30"/>
          <w:lang w:eastAsia="zh-CN"/>
        </w:rPr>
        <w:t>公路项目养护资金、</w:t>
      </w:r>
      <w:r>
        <w:rPr>
          <w:rFonts w:hint="eastAsia" w:cs="仿宋_GB2312" w:asciiTheme="minorEastAsia" w:hAnsiTheme="minorEastAsia" w:eastAsiaTheme="minorEastAsia"/>
          <w:sz w:val="30"/>
          <w:szCs w:val="30"/>
        </w:rPr>
        <w:t>对城市公交的补助支出、对农村道路客运的补贴支出、对出租车的补贴支出、治超工作经费、政府购买中介服务费、治超站卸载场等。</w:t>
      </w:r>
      <w:r>
        <w:rPr>
          <w:rFonts w:hint="eastAsia" w:asciiTheme="minorEastAsia" w:hAnsiTheme="minorEastAsia" w:eastAsiaTheme="minorEastAsia"/>
          <w:sz w:val="30"/>
          <w:szCs w:val="30"/>
        </w:rPr>
        <w:t>为加强项目资金的使用管理，我局专门制定了《专项资金管理制度》，所有项目资金的使用都严格按照《专项资金管理制度》及《财务管理制度》，在实施项目过程中，厉行节约，避免浪费，使项目资金能最大限度地发挥其作用。</w:t>
      </w:r>
    </w:p>
    <w:p>
      <w:pPr>
        <w:spacing w:line="600" w:lineRule="exact"/>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三、部门项目组织实施情况</w:t>
      </w:r>
    </w:p>
    <w:p>
      <w:pPr>
        <w:spacing w:line="560" w:lineRule="exact"/>
        <w:ind w:firstLine="600" w:firstLineChars="200"/>
        <w:rPr>
          <w:rFonts w:asciiTheme="minorEastAsia" w:hAnsiTheme="minorEastAsia" w:eastAsiaTheme="minorEastAsia"/>
          <w:color w:val="FF0000"/>
          <w:sz w:val="30"/>
          <w:szCs w:val="30"/>
        </w:rPr>
      </w:pPr>
      <w:r>
        <w:rPr>
          <w:rFonts w:hint="eastAsia" w:asciiTheme="minorEastAsia" w:hAnsiTheme="minorEastAsia" w:eastAsiaTheme="minorEastAsia"/>
          <w:bCs/>
          <w:sz w:val="30"/>
          <w:szCs w:val="30"/>
        </w:rPr>
        <w:t>1.项目组织情况分析</w:t>
      </w:r>
    </w:p>
    <w:p>
      <w:pPr>
        <w:spacing w:line="56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在市人民政府的统一领导下，市交通运输局牵头成立“四好农村办”、自然村通水泥（沥青）路建设指挥部，由各乡镇人民政府（街道办事处）负责本地区农村公路建设项目，各项目单位具体实施。</w:t>
      </w:r>
    </w:p>
    <w:p>
      <w:pPr>
        <w:spacing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2.项目管理情况分析</w:t>
      </w:r>
    </w:p>
    <w:p>
      <w:pPr>
        <w:spacing w:line="360" w:lineRule="auto"/>
        <w:rPr>
          <w:rFonts w:hint="eastAsia" w:asciiTheme="minorEastAsia" w:hAnsiTheme="minorEastAsia" w:eastAsiaTheme="minorEastAsia"/>
          <w:sz w:val="30"/>
          <w:szCs w:val="30"/>
        </w:rPr>
      </w:pPr>
      <w:r>
        <w:rPr>
          <w:rFonts w:hint="eastAsia" w:asciiTheme="minorEastAsia" w:hAnsiTheme="minorEastAsia" w:eastAsiaTheme="minorEastAsia"/>
          <w:color w:val="FF0000"/>
          <w:sz w:val="30"/>
          <w:szCs w:val="30"/>
        </w:rPr>
        <w:t xml:space="preserve">    </w:t>
      </w:r>
      <w:r>
        <w:rPr>
          <w:rFonts w:hint="eastAsia" w:asciiTheme="minorEastAsia" w:hAnsiTheme="minorEastAsia" w:eastAsiaTheme="minorEastAsia"/>
          <w:sz w:val="30"/>
          <w:szCs w:val="30"/>
        </w:rPr>
        <w:t xml:space="preserve"> 加强管理，压实责任，分类推进。１、省规自然村通水泥（沥青）路项目是由交运局作为建设业主进行推进，各乡镇村为主对项目路基进行建设，在路基检测合格后由长沙市路桥公司进行统一建设。２、市规提质改造、精准扶贫、危桥改造和安防工程定为由镇村为业主进行建设的，统一由各项目载体乡镇村为主进行推进，交运局作为行业主管部门进行技术指导、行业监管。3、养护项目建设严格按照《公路工程技术标准》、《公路沥青路面施工技术规范》、《公路工程质量检验评定标准》及施工图设计等执行。结合省市行业管理制度和市局工程管理办法对项目进行管理。本项目自完成招投标及合约签订后，由业主代表和监理单位从工程质量、进度、安全、效益等方面对该工程进行全面管理。精心配备了精干、业务能力强的项目管理人员建立了科学合理的项目组织机构，为项目顺利执行起到保障作用。中标施工单位成立项目经理部，中标监理单位设立项目监理处。项目经理部和监理处进行驻地建设，做到各项规章制度健全，驻地文明、整洁、有序，实现高水平、高起点管理模式。</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为确保建设项目优质高效安全，各乡镇人民政府（街道办事处）要成立相应的组织领导机构，建立市乡村三级联动的工作机制。并将乡镇在“四好农村路”建设中的成效纳入市对乡镇（街道）的年度绩效考评。市交通运输局将责任领导、技术人员和质监员按项目类型分解进行分类指导、分头推进，按照“一周一调度、一月一小结、一季一通报、一年一考核”的要求，有序推进项目建设。对在项目实施过程中，发现的质量问题，发现一起，处理一起，对出现施工质量、安全问题的企业，不得参与下年度的宁乡市农村公路建设及养护项目。</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四、资产管理情况</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lang w:eastAsia="zh-CN"/>
        </w:rPr>
        <w:t>我局</w:t>
      </w:r>
      <w:r>
        <w:rPr>
          <w:rFonts w:hint="eastAsia" w:asciiTheme="minorEastAsia" w:hAnsiTheme="minorEastAsia" w:eastAsiaTheme="minorEastAsia"/>
          <w:sz w:val="30"/>
          <w:szCs w:val="30"/>
        </w:rPr>
        <w:t>固定资产管理由专人根据《固定资产管理支付》负责资产的配置申报、管理、处置及盘点。</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五、部门整体支出绩效情况</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2020年，我局认真做好年度财政资金的预算编制工作，按照政府采购目录及采购限额标准编制政府采购预算，在资金使用和管理方面，进一步强化资金的通知、优化了资金的结构，明确开支范围，细化资金用途，确保部门职责任务顺利完成。全年基本支出保证了部门的正常运行和日常工作的正常开展，达到预期绩效目标。总体较为满意。</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六、存在的主要问题</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1.年初预算安排不够合理，年中预算调整数值较大，预算编制的合理性需调整；</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2.绩效评价指标体系有待细化。</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七、改进措施和有关建议</w:t>
      </w:r>
    </w:p>
    <w:p>
      <w:pPr>
        <w:spacing w:line="360" w:lineRule="auto"/>
        <w:ind w:firstLine="600" w:firstLineChars="2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1.加强单位预算编制工作，根据业务开展需要，逐项做出预算计划，预算合理、不留缺口；</w:t>
      </w:r>
    </w:p>
    <w:p>
      <w:pPr>
        <w:spacing w:line="360" w:lineRule="auto"/>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2.加强业务培训，提高评价水平。部门整体绩效评价工作是一项长期性</w:t>
      </w:r>
      <w:r>
        <w:rPr>
          <w:rFonts w:hint="eastAsia" w:asciiTheme="minorEastAsia" w:hAnsiTheme="minorEastAsia" w:eastAsiaTheme="minorEastAsia"/>
          <w:sz w:val="30"/>
          <w:szCs w:val="30"/>
          <w:lang w:eastAsia="zh-CN"/>
        </w:rPr>
        <w:t>的工作</w:t>
      </w:r>
      <w:bookmarkStart w:id="0" w:name="_GoBack"/>
      <w:bookmarkEnd w:id="0"/>
      <w:r>
        <w:rPr>
          <w:rFonts w:hint="eastAsia" w:asciiTheme="minorEastAsia" w:hAnsiTheme="minorEastAsia" w:eastAsiaTheme="minorEastAsia"/>
          <w:sz w:val="30"/>
          <w:szCs w:val="30"/>
        </w:rPr>
        <w:t>，专业性强，建议财政部门进一步加强业务部门相关人员的政策、业务工作培训和指导，优化相关指标，切实推进绩效评价工作的开展。</w:t>
      </w:r>
    </w:p>
    <w:p>
      <w:pPr>
        <w:spacing w:line="600" w:lineRule="exact"/>
        <w:ind w:firstLine="640" w:firstLineChars="200"/>
        <w:rPr>
          <w:rFonts w:ascii="宋体" w:hAnsi="宋体"/>
          <w:sz w:val="32"/>
          <w:szCs w:val="32"/>
        </w:rPr>
      </w:pPr>
    </w:p>
    <w:p>
      <w:pPr>
        <w:spacing w:line="360" w:lineRule="auto"/>
        <w:ind w:firstLine="640" w:firstLineChars="200"/>
        <w:rPr>
          <w:rFonts w:ascii="仿宋_GB2312" w:hAnsi="仿宋" w:eastAsia="仿宋_GB2312"/>
          <w:sz w:val="32"/>
          <w:szCs w:val="32"/>
        </w:rPr>
      </w:pPr>
    </w:p>
    <w:p>
      <w:pPr>
        <w:spacing w:line="360" w:lineRule="auto"/>
        <w:ind w:firstLine="600" w:firstLineChars="200"/>
        <w:rPr>
          <w:rFonts w:asciiTheme="minorEastAsia" w:hAnsiTheme="minorEastAsia" w:eastAsiaTheme="minorEastAsia"/>
          <w:color w:val="FF0000"/>
          <w:sz w:val="30"/>
          <w:szCs w:val="30"/>
        </w:rPr>
      </w:pPr>
    </w:p>
    <w:p>
      <w:pPr>
        <w:spacing w:line="560" w:lineRule="exact"/>
        <w:ind w:firstLine="600" w:firstLineChars="200"/>
        <w:rPr>
          <w:rFonts w:cs="仿宋_GB2312" w:asciiTheme="minorEastAsia" w:hAnsiTheme="minorEastAsia" w:eastAsiaTheme="minorEastAsia"/>
          <w:sz w:val="30"/>
          <w:szCs w:val="30"/>
        </w:rPr>
      </w:pPr>
    </w:p>
    <w:p>
      <w:pPr>
        <w:spacing w:line="220" w:lineRule="atLeast"/>
        <w:rPr>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mNWY5YmM3NWIyMzM2NDg5ZTBmMjc5ZTQ4YmQ3OWMifQ=="/>
  </w:docVars>
  <w:rsids>
    <w:rsidRoot w:val="00D31D50"/>
    <w:rsid w:val="00090DAC"/>
    <w:rsid w:val="001A17AA"/>
    <w:rsid w:val="00323B43"/>
    <w:rsid w:val="003322E7"/>
    <w:rsid w:val="003D37D8"/>
    <w:rsid w:val="00421BE6"/>
    <w:rsid w:val="00426133"/>
    <w:rsid w:val="004358AB"/>
    <w:rsid w:val="00716E42"/>
    <w:rsid w:val="00751887"/>
    <w:rsid w:val="00790E08"/>
    <w:rsid w:val="008B7726"/>
    <w:rsid w:val="00964DD1"/>
    <w:rsid w:val="009A159F"/>
    <w:rsid w:val="00AF29FD"/>
    <w:rsid w:val="00B76EE3"/>
    <w:rsid w:val="00BD313A"/>
    <w:rsid w:val="00C53E86"/>
    <w:rsid w:val="00D12C4F"/>
    <w:rsid w:val="00D31D50"/>
    <w:rsid w:val="00E107C9"/>
    <w:rsid w:val="00EC35B2"/>
    <w:rsid w:val="00F17CC5"/>
    <w:rsid w:val="00FC260E"/>
    <w:rsid w:val="04CE427D"/>
    <w:rsid w:val="11EF1AC0"/>
    <w:rsid w:val="13453400"/>
    <w:rsid w:val="1C3477DB"/>
    <w:rsid w:val="2D5A24B5"/>
    <w:rsid w:val="3D78729B"/>
    <w:rsid w:val="561C4443"/>
    <w:rsid w:val="5FAE364C"/>
    <w:rsid w:val="71E62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2001</Words>
  <Characters>2106</Characters>
  <Lines>16</Lines>
  <Paragraphs>4</Paragraphs>
  <TotalTime>124</TotalTime>
  <ScaleCrop>false</ScaleCrop>
  <LinksUpToDate>false</LinksUpToDate>
  <CharactersWithSpaces>2121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2021-03-30T03:46:00Z</dcterms:created>
  <dc:creator>Administrator</dc:creator>
  <cp:lastModifiedBy>Administrator</cp:lastModifiedBy>
  <dcterms:modified xsi:type="dcterms:W3CDTF">2022-06-10T05:50:30Z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BB10B340501F4A418D15930AD3908265</vt:lpwstr>
  </property>
</Properties>
</file>