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仿宋_GB2312" w:hAnsi="方正仿宋_GB2312" w:eastAsia="方正仿宋_GB2312" w:cs="方正仿宋_GB2312"/>
          <w:b/>
          <w:bCs/>
          <w:sz w:val="36"/>
          <w:szCs w:val="36"/>
        </w:rPr>
      </w:pPr>
      <w:r>
        <w:rPr>
          <w:rFonts w:hint="eastAsia" w:ascii="方正仿宋_GB2312" w:hAnsi="方正仿宋_GB2312" w:eastAsia="方正仿宋_GB2312" w:cs="方正仿宋_GB2312"/>
          <w:b/>
          <w:bCs/>
          <w:sz w:val="36"/>
          <w:szCs w:val="36"/>
        </w:rPr>
        <w:t>2020年度宁乡市金洲镇人民政府整体支出绩效</w:t>
      </w:r>
    </w:p>
    <w:p>
      <w:pPr>
        <w:jc w:val="center"/>
        <w:rPr>
          <w:rFonts w:ascii="方正仿宋_GB2312" w:hAnsi="方正仿宋_GB2312" w:eastAsia="方正仿宋_GB2312" w:cs="方正仿宋_GB2312"/>
          <w:b/>
          <w:bCs/>
          <w:sz w:val="36"/>
          <w:szCs w:val="36"/>
        </w:rPr>
      </w:pPr>
      <w:r>
        <w:rPr>
          <w:rFonts w:hint="eastAsia" w:ascii="方正仿宋_GB2312" w:hAnsi="方正仿宋_GB2312" w:eastAsia="方正仿宋_GB2312" w:cs="方正仿宋_GB2312"/>
          <w:b/>
          <w:bCs/>
          <w:sz w:val="36"/>
          <w:szCs w:val="36"/>
        </w:rPr>
        <w:t>自评报告</w:t>
      </w:r>
    </w:p>
    <w:p>
      <w:pPr>
        <w:numPr>
          <w:ilvl w:val="0"/>
          <w:numId w:val="1"/>
        </w:numPr>
        <w:spacing w:line="400" w:lineRule="exact"/>
        <w:rPr>
          <w:rFonts w:ascii="方正仿宋_GB2312" w:hAnsi="方正仿宋_GB2312" w:eastAsia="方正仿宋_GB2312" w:cs="方正仿宋_GB2312"/>
          <w:b/>
          <w:bCs/>
          <w:color w:val="000000" w:themeColor="text1"/>
          <w:sz w:val="32"/>
          <w:szCs w:val="32"/>
          <w14:textFill>
            <w14:solidFill>
              <w14:schemeClr w14:val="tx1"/>
            </w14:solidFill>
          </w14:textFill>
        </w:rPr>
      </w:pPr>
      <w:r>
        <w:rPr>
          <w:rFonts w:hint="eastAsia" w:ascii="方正仿宋_GB2312" w:hAnsi="方正仿宋_GB2312" w:eastAsia="方正仿宋_GB2312" w:cs="方正仿宋_GB2312"/>
          <w:b/>
          <w:bCs/>
          <w:color w:val="000000" w:themeColor="text1"/>
          <w:sz w:val="32"/>
          <w:szCs w:val="32"/>
          <w14:textFill>
            <w14:solidFill>
              <w14:schemeClr w14:val="tx1"/>
            </w14:solidFill>
          </w14:textFill>
        </w:rPr>
        <w:t>部门概况</w:t>
      </w:r>
    </w:p>
    <w:p>
      <w:pPr>
        <w:numPr>
          <w:ilvl w:val="0"/>
          <w:numId w:val="2"/>
        </w:numPr>
        <w:spacing w:line="400" w:lineRule="exact"/>
        <w:rPr>
          <w:rFonts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部门基本情况</w:t>
      </w:r>
    </w:p>
    <w:p>
      <w:pPr>
        <w:spacing w:line="600" w:lineRule="exact"/>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1、机构设置和人员情况</w:t>
      </w:r>
    </w:p>
    <w:p>
      <w:pPr>
        <w:spacing w:line="600" w:lineRule="exact"/>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2020年金洲镇人民政府共辖6个村（社区）、202个居民小组，乡镇总人口34623人，现有村（社区）干部38人,后备干部19人。乡镇政府工作机构分设机关、一所三中心及一队，即政府机关、司法所、社会事务综合服务中心、农业综合服务中心、政务服务中心、综合行政执法队(未单独设置，职能职责由其他中心兼</w:t>
      </w:r>
      <w:r>
        <w:rPr>
          <w:rFonts w:hint="eastAsia" w:ascii="Times New Roman" w:hAnsi="Times New Roman" w:eastAsia="仿宋_GB2312" w:cs="Times New Roman"/>
          <w:kern w:val="0"/>
          <w:sz w:val="32"/>
          <w:szCs w:val="32"/>
          <w:lang w:eastAsia="zh-CN"/>
        </w:rPr>
        <w:t>管</w:t>
      </w:r>
      <w:r>
        <w:rPr>
          <w:rFonts w:hint="eastAsia" w:ascii="Times New Roman" w:hAnsi="Times New Roman" w:eastAsia="仿宋_GB2312" w:cs="Times New Roman"/>
          <w:kern w:val="0"/>
          <w:sz w:val="32"/>
          <w:szCs w:val="32"/>
        </w:rPr>
        <w:t>）。2020年年初实有在职140人，其中：行政人员46人、工勤编制人员1人，全额事业人员44人、差额事业人员49人 、自收自支事业人员0人，无超编人员。离休0人，退休45人。2020年退休4人，调出5人，调进3人，年末在职人员134人（含企业编2人）</w:t>
      </w:r>
    </w:p>
    <w:p>
      <w:pPr>
        <w:spacing w:line="600" w:lineRule="exact"/>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2、部门主要职能</w:t>
      </w:r>
    </w:p>
    <w:p>
      <w:pPr>
        <w:spacing w:line="600" w:lineRule="exact"/>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贯彻执行党和国家的路线、方针、政策，执行上级决定和命令，依法行政；制定和组织实施好村镇建设规划，部署重点工程建设，加强地方道路建设及公共设施，水利设施的管理，负责土地、林木、水等自然资源和生态环境的保护，做好护林防火工作；推进农村综合改革，落实主体功能区规划，明确发展定位，保护生态环境；发展镇村经济、文化和社会事业，建立和完善镇村（居）综合公共服务机构；引导广大农民群众发展经济，增加农民群众经济收入，促进农村生产力发展；负责本镇辖区经济社会发展事务，会同市级有关部门管理驻镇单位工作；执行城镇管理工作有关法律法规，组织抓好城镇日常管理工作，搞好城镇美化、绿化、亮化和卫生工作，组织开展辖区爱国卫生运动；指导村庄规划建设，协调镇村基础设施和公用事业的建设管理；执行国家各项计划生育政策，抓好本镇辖区户籍人口和外来人口计划生育管理工作；负责辖区社会治安综合治理，建立和完善镇村（居）综治信访维稳平台，加强社会管理，维护农村社会和谐稳定；加强辖区基层组织建设，巩固基层政权，搞好辖区社会主义法制建设、精神文明建设、政治文明建设、和谐社会建设，推进基层民主进程；指导、支持和帮助村（居）民委员会工作；负责本镇重大突发性事件迅速反应机制的建立和及时处置，并即时报告上级；按计划组织本级财政收入，完成国家财政计划，培植财源，管好财政资金；完成市委、市政府等上级交办和委托的其他工作任务。</w:t>
      </w:r>
    </w:p>
    <w:p>
      <w:pPr>
        <w:spacing w:line="600" w:lineRule="exact"/>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3、2020年重点工作规划</w:t>
      </w:r>
    </w:p>
    <w:p>
      <w:pPr>
        <w:spacing w:line="600" w:lineRule="exact"/>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fldChar w:fldCharType="begin"/>
      </w:r>
      <w:r>
        <w:rPr>
          <w:rFonts w:hint="eastAsia" w:ascii="Times New Roman" w:hAnsi="Times New Roman" w:eastAsia="仿宋_GB2312" w:cs="Times New Roman"/>
          <w:kern w:val="0"/>
          <w:sz w:val="32"/>
          <w:szCs w:val="32"/>
        </w:rPr>
        <w:instrText xml:space="preserve"> EQ \o\ac(</w:instrText>
      </w:r>
      <w:r>
        <w:rPr>
          <w:rFonts w:hint="eastAsia" w:ascii="Times New Roman" w:hAnsi="Times New Roman" w:eastAsia="仿宋_GB2312" w:cs="Times New Roman"/>
          <w:kern w:val="0"/>
          <w:position w:val="-6"/>
          <w:sz w:val="48"/>
          <w:szCs w:val="32"/>
        </w:rPr>
        <w:instrText xml:space="preserve">○</w:instrText>
      </w:r>
      <w:r>
        <w:rPr>
          <w:rFonts w:hint="eastAsia" w:ascii="Times New Roman" w:hAnsi="Times New Roman" w:eastAsia="仿宋_GB2312" w:cs="Times New Roman"/>
          <w:kern w:val="0"/>
          <w:sz w:val="32"/>
          <w:szCs w:val="32"/>
        </w:rPr>
        <w:instrText xml:space="preserve">,1)</w:instrText>
      </w:r>
      <w:r>
        <w:rPr>
          <w:rFonts w:hint="eastAsia" w:ascii="Times New Roman" w:hAnsi="Times New Roman" w:eastAsia="仿宋_GB2312" w:cs="Times New Roman"/>
          <w:kern w:val="0"/>
          <w:sz w:val="32"/>
          <w:szCs w:val="32"/>
        </w:rPr>
        <w:fldChar w:fldCharType="end"/>
      </w:r>
      <w:r>
        <w:rPr>
          <w:rFonts w:hint="eastAsia" w:ascii="Times New Roman" w:hAnsi="Times New Roman" w:eastAsia="仿宋_GB2312" w:cs="Times New Roman"/>
          <w:kern w:val="0"/>
          <w:sz w:val="32"/>
          <w:szCs w:val="32"/>
        </w:rPr>
        <w:t>培植财源，完成税收征缴任务3360万元</w:t>
      </w:r>
    </w:p>
    <w:p>
      <w:pPr>
        <w:spacing w:line="600" w:lineRule="exact"/>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fldChar w:fldCharType="begin"/>
      </w:r>
      <w:r>
        <w:rPr>
          <w:rFonts w:hint="eastAsia" w:ascii="Times New Roman" w:hAnsi="Times New Roman" w:eastAsia="仿宋_GB2312" w:cs="Times New Roman"/>
          <w:kern w:val="0"/>
          <w:sz w:val="32"/>
          <w:szCs w:val="32"/>
        </w:rPr>
        <w:instrText xml:space="preserve"> EQ \o\ac(</w:instrText>
      </w:r>
      <w:r>
        <w:rPr>
          <w:rFonts w:hint="eastAsia" w:ascii="Times New Roman" w:hAnsi="Times New Roman" w:eastAsia="仿宋_GB2312" w:cs="Times New Roman"/>
          <w:kern w:val="0"/>
          <w:position w:val="-6"/>
          <w:sz w:val="48"/>
          <w:szCs w:val="32"/>
        </w:rPr>
        <w:instrText xml:space="preserve">○</w:instrText>
      </w:r>
      <w:r>
        <w:rPr>
          <w:rFonts w:hint="eastAsia" w:ascii="Times New Roman" w:hAnsi="Times New Roman" w:eastAsia="仿宋_GB2312" w:cs="Times New Roman"/>
          <w:kern w:val="0"/>
          <w:sz w:val="32"/>
          <w:szCs w:val="32"/>
        </w:rPr>
        <w:instrText xml:space="preserve">,2)</w:instrText>
      </w:r>
      <w:r>
        <w:rPr>
          <w:rFonts w:hint="eastAsia" w:ascii="Times New Roman" w:hAnsi="Times New Roman" w:eastAsia="仿宋_GB2312" w:cs="Times New Roman"/>
          <w:kern w:val="0"/>
          <w:sz w:val="32"/>
          <w:szCs w:val="32"/>
        </w:rPr>
        <w:fldChar w:fldCharType="end"/>
      </w:r>
      <w:r>
        <w:rPr>
          <w:rFonts w:hint="eastAsia" w:ascii="Times New Roman" w:hAnsi="Times New Roman" w:eastAsia="仿宋_GB2312" w:cs="Times New Roman"/>
          <w:kern w:val="0"/>
          <w:sz w:val="32"/>
          <w:szCs w:val="32"/>
        </w:rPr>
        <w:t>项目建设提速提质，积极服务渝长厦高铁、长益复线、电力630等重大项目</w:t>
      </w:r>
    </w:p>
    <w:p>
      <w:pPr>
        <w:spacing w:line="600" w:lineRule="exact"/>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fldChar w:fldCharType="begin"/>
      </w:r>
      <w:r>
        <w:rPr>
          <w:rFonts w:hint="eastAsia" w:ascii="Times New Roman" w:hAnsi="Times New Roman" w:eastAsia="仿宋_GB2312" w:cs="Times New Roman"/>
          <w:kern w:val="0"/>
          <w:sz w:val="32"/>
          <w:szCs w:val="32"/>
        </w:rPr>
        <w:instrText xml:space="preserve"> EQ \o\ac(</w:instrText>
      </w:r>
      <w:r>
        <w:rPr>
          <w:rFonts w:hint="eastAsia" w:ascii="Times New Roman" w:hAnsi="Times New Roman" w:eastAsia="仿宋_GB2312" w:cs="Times New Roman"/>
          <w:kern w:val="0"/>
          <w:position w:val="-6"/>
          <w:sz w:val="48"/>
          <w:szCs w:val="32"/>
        </w:rPr>
        <w:instrText xml:space="preserve">○</w:instrText>
      </w:r>
      <w:r>
        <w:rPr>
          <w:rFonts w:hint="eastAsia" w:ascii="Times New Roman" w:hAnsi="Times New Roman" w:eastAsia="仿宋_GB2312" w:cs="Times New Roman"/>
          <w:kern w:val="0"/>
          <w:sz w:val="32"/>
          <w:szCs w:val="32"/>
        </w:rPr>
        <w:instrText xml:space="preserve">,3)</w:instrText>
      </w:r>
      <w:r>
        <w:rPr>
          <w:rFonts w:hint="eastAsia" w:ascii="Times New Roman" w:hAnsi="Times New Roman" w:eastAsia="仿宋_GB2312" w:cs="Times New Roman"/>
          <w:kern w:val="0"/>
          <w:sz w:val="32"/>
          <w:szCs w:val="32"/>
        </w:rPr>
        <w:fldChar w:fldCharType="end"/>
      </w:r>
      <w:r>
        <w:rPr>
          <w:rFonts w:hint="eastAsia" w:ascii="Times New Roman" w:hAnsi="Times New Roman" w:eastAsia="仿宋_GB2312" w:cs="Times New Roman"/>
          <w:kern w:val="0"/>
          <w:sz w:val="32"/>
          <w:szCs w:val="32"/>
        </w:rPr>
        <w:t>完成9条“自然村公路”和6条“市规公路”共20.86公里建设</w:t>
      </w:r>
    </w:p>
    <w:p>
      <w:pPr>
        <w:spacing w:line="600" w:lineRule="exact"/>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fldChar w:fldCharType="begin"/>
      </w:r>
      <w:r>
        <w:rPr>
          <w:rFonts w:hint="eastAsia" w:ascii="Times New Roman" w:hAnsi="Times New Roman" w:eastAsia="仿宋_GB2312" w:cs="Times New Roman"/>
          <w:kern w:val="0"/>
          <w:sz w:val="32"/>
          <w:szCs w:val="32"/>
        </w:rPr>
        <w:instrText xml:space="preserve"> EQ \o\ac(</w:instrText>
      </w:r>
      <w:r>
        <w:rPr>
          <w:rFonts w:hint="eastAsia" w:ascii="Times New Roman" w:hAnsi="Times New Roman" w:eastAsia="仿宋_GB2312" w:cs="Times New Roman"/>
          <w:kern w:val="0"/>
          <w:position w:val="-6"/>
          <w:sz w:val="48"/>
          <w:szCs w:val="32"/>
        </w:rPr>
        <w:instrText xml:space="preserve">○</w:instrText>
      </w:r>
      <w:r>
        <w:rPr>
          <w:rFonts w:hint="eastAsia" w:ascii="Times New Roman" w:hAnsi="Times New Roman" w:eastAsia="仿宋_GB2312" w:cs="Times New Roman"/>
          <w:kern w:val="0"/>
          <w:sz w:val="32"/>
          <w:szCs w:val="32"/>
        </w:rPr>
        <w:instrText xml:space="preserve">,4)</w:instrText>
      </w:r>
      <w:r>
        <w:rPr>
          <w:rFonts w:hint="eastAsia" w:ascii="Times New Roman" w:hAnsi="Times New Roman" w:eastAsia="仿宋_GB2312" w:cs="Times New Roman"/>
          <w:kern w:val="0"/>
          <w:sz w:val="32"/>
          <w:szCs w:val="32"/>
        </w:rPr>
        <w:fldChar w:fldCharType="end"/>
      </w:r>
      <w:r>
        <w:rPr>
          <w:rFonts w:hint="eastAsia" w:ascii="Times New Roman" w:hAnsi="Times New Roman" w:eastAsia="仿宋_GB2312" w:cs="Times New Roman"/>
          <w:kern w:val="0"/>
          <w:sz w:val="32"/>
          <w:szCs w:val="32"/>
        </w:rPr>
        <w:t>完成望龙幼儿园及中心幼儿园综合楼建设，完成金洲九年制学校、关山小学、金州湾小学、泉塘中学维修改造。</w:t>
      </w:r>
    </w:p>
    <w:p>
      <w:pPr>
        <w:spacing w:line="600" w:lineRule="exact"/>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fldChar w:fldCharType="begin"/>
      </w:r>
      <w:r>
        <w:rPr>
          <w:rFonts w:hint="eastAsia" w:ascii="Times New Roman" w:hAnsi="Times New Roman" w:eastAsia="仿宋_GB2312" w:cs="Times New Roman"/>
          <w:kern w:val="0"/>
          <w:sz w:val="32"/>
          <w:szCs w:val="32"/>
        </w:rPr>
        <w:instrText xml:space="preserve"> EQ \o\ac(</w:instrText>
      </w:r>
      <w:r>
        <w:rPr>
          <w:rFonts w:hint="eastAsia" w:ascii="Times New Roman" w:hAnsi="Times New Roman" w:eastAsia="仿宋_GB2312" w:cs="Times New Roman"/>
          <w:kern w:val="0"/>
          <w:position w:val="-6"/>
          <w:sz w:val="48"/>
          <w:szCs w:val="32"/>
        </w:rPr>
        <w:instrText xml:space="preserve">○</w:instrText>
      </w:r>
      <w:r>
        <w:rPr>
          <w:rFonts w:hint="eastAsia" w:ascii="Times New Roman" w:hAnsi="Times New Roman" w:eastAsia="仿宋_GB2312" w:cs="Times New Roman"/>
          <w:kern w:val="0"/>
          <w:sz w:val="32"/>
          <w:szCs w:val="32"/>
        </w:rPr>
        <w:instrText xml:space="preserve">,5)</w:instrText>
      </w:r>
      <w:r>
        <w:rPr>
          <w:rFonts w:hint="eastAsia" w:ascii="Times New Roman" w:hAnsi="Times New Roman" w:eastAsia="仿宋_GB2312" w:cs="Times New Roman"/>
          <w:kern w:val="0"/>
          <w:sz w:val="32"/>
          <w:szCs w:val="32"/>
        </w:rPr>
        <w:fldChar w:fldCharType="end"/>
      </w:r>
      <w:r>
        <w:rPr>
          <w:rFonts w:hint="eastAsia" w:ascii="Times New Roman" w:hAnsi="Times New Roman" w:eastAsia="仿宋_GB2312" w:cs="Times New Roman"/>
          <w:kern w:val="0"/>
          <w:sz w:val="32"/>
          <w:szCs w:val="32"/>
        </w:rPr>
        <w:t>优质高效服务新区，完成云起实验学校、邦普六期、通程置换地及雅士林等重大项目征地，有力维护比亚迪、云轮科技、邦普、三一、星沙重工等项目建设环境，确保项目有效推进</w:t>
      </w:r>
    </w:p>
    <w:p>
      <w:pPr>
        <w:spacing w:line="600" w:lineRule="exact"/>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fldChar w:fldCharType="begin"/>
      </w:r>
      <w:r>
        <w:rPr>
          <w:rFonts w:hint="eastAsia" w:ascii="Times New Roman" w:hAnsi="Times New Roman" w:eastAsia="仿宋_GB2312" w:cs="Times New Roman"/>
          <w:kern w:val="0"/>
          <w:sz w:val="32"/>
          <w:szCs w:val="32"/>
        </w:rPr>
        <w:instrText xml:space="preserve"> EQ \o\ac(</w:instrText>
      </w:r>
      <w:r>
        <w:rPr>
          <w:rFonts w:hint="eastAsia" w:ascii="Times New Roman" w:hAnsi="Times New Roman" w:eastAsia="仿宋_GB2312" w:cs="Times New Roman"/>
          <w:kern w:val="0"/>
          <w:position w:val="-6"/>
          <w:sz w:val="48"/>
          <w:szCs w:val="32"/>
        </w:rPr>
        <w:instrText xml:space="preserve">○</w:instrText>
      </w:r>
      <w:r>
        <w:rPr>
          <w:rFonts w:hint="eastAsia" w:ascii="Times New Roman" w:hAnsi="Times New Roman" w:eastAsia="仿宋_GB2312" w:cs="Times New Roman"/>
          <w:kern w:val="0"/>
          <w:sz w:val="32"/>
          <w:szCs w:val="32"/>
        </w:rPr>
        <w:instrText xml:space="preserve">,6)</w:instrText>
      </w:r>
      <w:r>
        <w:rPr>
          <w:rFonts w:hint="eastAsia" w:ascii="Times New Roman" w:hAnsi="Times New Roman" w:eastAsia="仿宋_GB2312" w:cs="Times New Roman"/>
          <w:kern w:val="0"/>
          <w:sz w:val="32"/>
          <w:szCs w:val="32"/>
        </w:rPr>
        <w:fldChar w:fldCharType="end"/>
      </w:r>
      <w:r>
        <w:rPr>
          <w:rFonts w:hint="eastAsia" w:ascii="Times New Roman" w:hAnsi="Times New Roman" w:eastAsia="仿宋_GB2312" w:cs="Times New Roman"/>
          <w:kern w:val="0"/>
          <w:sz w:val="32"/>
          <w:szCs w:val="32"/>
        </w:rPr>
        <w:t>持续优化关山景区运营管理，全力推进关山古镇二期建设</w:t>
      </w:r>
    </w:p>
    <w:p>
      <w:pPr>
        <w:spacing w:line="600" w:lineRule="exact"/>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fldChar w:fldCharType="begin"/>
      </w:r>
      <w:r>
        <w:rPr>
          <w:rFonts w:hint="eastAsia" w:ascii="Times New Roman" w:hAnsi="Times New Roman" w:eastAsia="仿宋_GB2312" w:cs="Times New Roman"/>
          <w:kern w:val="0"/>
          <w:sz w:val="32"/>
          <w:szCs w:val="32"/>
        </w:rPr>
        <w:instrText xml:space="preserve"> EQ \o\ac(</w:instrText>
      </w:r>
      <w:r>
        <w:rPr>
          <w:rFonts w:hint="eastAsia" w:ascii="Times New Roman" w:hAnsi="Times New Roman" w:eastAsia="仿宋_GB2312" w:cs="Times New Roman"/>
          <w:kern w:val="0"/>
          <w:position w:val="-6"/>
          <w:sz w:val="48"/>
          <w:szCs w:val="32"/>
        </w:rPr>
        <w:instrText xml:space="preserve">○</w:instrText>
      </w:r>
      <w:r>
        <w:rPr>
          <w:rFonts w:hint="eastAsia" w:ascii="Times New Roman" w:hAnsi="Times New Roman" w:eastAsia="仿宋_GB2312" w:cs="Times New Roman"/>
          <w:kern w:val="0"/>
          <w:sz w:val="32"/>
          <w:szCs w:val="32"/>
        </w:rPr>
        <w:instrText xml:space="preserve">,7)</w:instrText>
      </w:r>
      <w:r>
        <w:rPr>
          <w:rFonts w:hint="eastAsia" w:ascii="Times New Roman" w:hAnsi="Times New Roman" w:eastAsia="仿宋_GB2312" w:cs="Times New Roman"/>
          <w:kern w:val="0"/>
          <w:sz w:val="32"/>
          <w:szCs w:val="32"/>
        </w:rPr>
        <w:fldChar w:fldCharType="end"/>
      </w:r>
      <w:r>
        <w:rPr>
          <w:rFonts w:hint="eastAsia" w:ascii="Times New Roman" w:hAnsi="Times New Roman" w:eastAsia="仿宋_GB2312" w:cs="Times New Roman"/>
          <w:kern w:val="0"/>
          <w:sz w:val="32"/>
          <w:szCs w:val="32"/>
        </w:rPr>
        <w:t>搞好乡村振兴工作</w:t>
      </w:r>
    </w:p>
    <w:p>
      <w:pPr>
        <w:spacing w:line="600" w:lineRule="exact"/>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fldChar w:fldCharType="begin"/>
      </w:r>
      <w:r>
        <w:rPr>
          <w:rFonts w:hint="eastAsia" w:ascii="Times New Roman" w:hAnsi="Times New Roman" w:eastAsia="仿宋_GB2312" w:cs="Times New Roman"/>
          <w:kern w:val="0"/>
          <w:sz w:val="32"/>
          <w:szCs w:val="32"/>
        </w:rPr>
        <w:instrText xml:space="preserve"> EQ \o\ac(</w:instrText>
      </w:r>
      <w:r>
        <w:rPr>
          <w:rFonts w:hint="eastAsia" w:ascii="Times New Roman" w:hAnsi="Times New Roman" w:eastAsia="仿宋_GB2312" w:cs="Times New Roman"/>
          <w:kern w:val="0"/>
          <w:position w:val="-6"/>
          <w:sz w:val="48"/>
          <w:szCs w:val="32"/>
        </w:rPr>
        <w:instrText xml:space="preserve">○</w:instrText>
      </w:r>
      <w:r>
        <w:rPr>
          <w:rFonts w:hint="eastAsia" w:ascii="Times New Roman" w:hAnsi="Times New Roman" w:eastAsia="仿宋_GB2312" w:cs="Times New Roman"/>
          <w:kern w:val="0"/>
          <w:sz w:val="32"/>
          <w:szCs w:val="32"/>
        </w:rPr>
        <w:instrText xml:space="preserve">,8)</w:instrText>
      </w:r>
      <w:r>
        <w:rPr>
          <w:rFonts w:hint="eastAsia" w:ascii="Times New Roman" w:hAnsi="Times New Roman" w:eastAsia="仿宋_GB2312" w:cs="Times New Roman"/>
          <w:kern w:val="0"/>
          <w:sz w:val="32"/>
          <w:szCs w:val="32"/>
        </w:rPr>
        <w:fldChar w:fldCharType="end"/>
      </w:r>
      <w:r>
        <w:rPr>
          <w:rFonts w:hint="eastAsia" w:ascii="Times New Roman" w:hAnsi="Times New Roman" w:eastAsia="仿宋_GB2312" w:cs="Times New Roman"/>
          <w:kern w:val="0"/>
          <w:sz w:val="32"/>
          <w:szCs w:val="32"/>
        </w:rPr>
        <w:t>全面深化生态治理，搞好环境卫生日常管理。以改善环境质量为核心，持续打好蓝天保卫战、碧水攻坚战、净土持久战。大力实施河长制，全面开展“三清两改一提升”行动，持续推进垃圾分类减量</w:t>
      </w:r>
    </w:p>
    <w:p>
      <w:pPr>
        <w:spacing w:line="600" w:lineRule="exact"/>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fldChar w:fldCharType="begin"/>
      </w:r>
      <w:r>
        <w:rPr>
          <w:rFonts w:hint="eastAsia" w:ascii="Times New Roman" w:hAnsi="Times New Roman" w:eastAsia="仿宋_GB2312" w:cs="Times New Roman"/>
          <w:kern w:val="0"/>
          <w:sz w:val="32"/>
          <w:szCs w:val="32"/>
        </w:rPr>
        <w:instrText xml:space="preserve"> EQ \o\ac(</w:instrText>
      </w:r>
      <w:r>
        <w:rPr>
          <w:rFonts w:hint="eastAsia" w:ascii="Times New Roman" w:hAnsi="Times New Roman" w:eastAsia="仿宋_GB2312" w:cs="Times New Roman"/>
          <w:kern w:val="0"/>
          <w:position w:val="-6"/>
          <w:sz w:val="48"/>
          <w:szCs w:val="32"/>
        </w:rPr>
        <w:instrText xml:space="preserve">○</w:instrText>
      </w:r>
      <w:r>
        <w:rPr>
          <w:rFonts w:hint="eastAsia" w:ascii="Times New Roman" w:hAnsi="Times New Roman" w:eastAsia="仿宋_GB2312" w:cs="Times New Roman"/>
          <w:kern w:val="0"/>
          <w:sz w:val="32"/>
          <w:szCs w:val="32"/>
        </w:rPr>
        <w:instrText xml:space="preserve">,9)</w:instrText>
      </w:r>
      <w:r>
        <w:rPr>
          <w:rFonts w:hint="eastAsia" w:ascii="Times New Roman" w:hAnsi="Times New Roman" w:eastAsia="仿宋_GB2312" w:cs="Times New Roman"/>
          <w:kern w:val="0"/>
          <w:sz w:val="32"/>
          <w:szCs w:val="32"/>
        </w:rPr>
        <w:fldChar w:fldCharType="end"/>
      </w:r>
      <w:r>
        <w:rPr>
          <w:rFonts w:hint="eastAsia" w:ascii="Times New Roman" w:hAnsi="Times New Roman" w:eastAsia="仿宋_GB2312" w:cs="Times New Roman"/>
          <w:kern w:val="0"/>
          <w:sz w:val="32"/>
          <w:szCs w:val="32"/>
        </w:rPr>
        <w:t>全面整顿镇域内违章建筑</w:t>
      </w:r>
    </w:p>
    <w:p>
      <w:pPr>
        <w:spacing w:line="600" w:lineRule="exact"/>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fldChar w:fldCharType="begin"/>
      </w:r>
      <w:r>
        <w:rPr>
          <w:rFonts w:hint="eastAsia" w:ascii="Times New Roman" w:hAnsi="Times New Roman" w:eastAsia="仿宋_GB2312" w:cs="Times New Roman"/>
          <w:kern w:val="0"/>
          <w:sz w:val="32"/>
          <w:szCs w:val="32"/>
        </w:rPr>
        <w:instrText xml:space="preserve"> EQ \o\ac(</w:instrText>
      </w:r>
      <w:r>
        <w:rPr>
          <w:rFonts w:hint="eastAsia" w:ascii="Times New Roman" w:hAnsi="Times New Roman" w:eastAsia="仿宋_GB2312" w:cs="Times New Roman"/>
          <w:kern w:val="0"/>
          <w:position w:val="-6"/>
          <w:sz w:val="48"/>
          <w:szCs w:val="32"/>
        </w:rPr>
        <w:instrText xml:space="preserve">○</w:instrText>
      </w:r>
      <w:r>
        <w:rPr>
          <w:rFonts w:hint="eastAsia" w:ascii="Times New Roman" w:hAnsi="Times New Roman" w:eastAsia="仿宋_GB2312" w:cs="Times New Roman"/>
          <w:kern w:val="0"/>
          <w:sz w:val="32"/>
          <w:szCs w:val="32"/>
        </w:rPr>
        <w:instrText xml:space="preserve">,10)</w:instrText>
      </w:r>
      <w:r>
        <w:rPr>
          <w:rFonts w:hint="eastAsia" w:ascii="Times New Roman" w:hAnsi="Times New Roman" w:eastAsia="仿宋_GB2312" w:cs="Times New Roman"/>
          <w:kern w:val="0"/>
          <w:sz w:val="32"/>
          <w:szCs w:val="32"/>
        </w:rPr>
        <w:fldChar w:fldCharType="end"/>
      </w:r>
      <w:r>
        <w:rPr>
          <w:rFonts w:hint="eastAsia" w:ascii="Times New Roman" w:hAnsi="Times New Roman" w:eastAsia="仿宋_GB2312" w:cs="Times New Roman"/>
          <w:kern w:val="0"/>
          <w:sz w:val="32"/>
          <w:szCs w:val="32"/>
        </w:rPr>
        <w:t>搞好疫情防控</w:t>
      </w:r>
    </w:p>
    <w:p>
      <w:pPr>
        <w:spacing w:line="600" w:lineRule="exact"/>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fldChar w:fldCharType="begin"/>
      </w:r>
      <w:r>
        <w:rPr>
          <w:rFonts w:hint="eastAsia" w:ascii="Times New Roman" w:hAnsi="Times New Roman" w:eastAsia="仿宋_GB2312" w:cs="Times New Roman"/>
          <w:kern w:val="0"/>
          <w:sz w:val="32"/>
          <w:szCs w:val="32"/>
        </w:rPr>
        <w:instrText xml:space="preserve"> EQ \o\ac(</w:instrText>
      </w:r>
      <w:r>
        <w:rPr>
          <w:rFonts w:hint="eastAsia" w:ascii="Times New Roman" w:hAnsi="Times New Roman" w:eastAsia="仿宋_GB2312" w:cs="Times New Roman"/>
          <w:kern w:val="0"/>
          <w:position w:val="-6"/>
          <w:sz w:val="48"/>
          <w:szCs w:val="32"/>
        </w:rPr>
        <w:instrText xml:space="preserve">○</w:instrText>
      </w:r>
      <w:r>
        <w:rPr>
          <w:rFonts w:hint="eastAsia" w:ascii="Times New Roman" w:hAnsi="Times New Roman" w:eastAsia="仿宋_GB2312" w:cs="Times New Roman"/>
          <w:kern w:val="0"/>
          <w:sz w:val="32"/>
          <w:szCs w:val="32"/>
        </w:rPr>
        <w:instrText xml:space="preserve">,11)</w:instrText>
      </w:r>
      <w:r>
        <w:rPr>
          <w:rFonts w:hint="eastAsia" w:ascii="Times New Roman" w:hAnsi="Times New Roman" w:eastAsia="仿宋_GB2312" w:cs="Times New Roman"/>
          <w:kern w:val="0"/>
          <w:sz w:val="32"/>
          <w:szCs w:val="32"/>
        </w:rPr>
        <w:fldChar w:fldCharType="end"/>
      </w:r>
      <w:r>
        <w:rPr>
          <w:rFonts w:hint="eastAsia" w:ascii="Times New Roman" w:hAnsi="Times New Roman" w:eastAsia="仿宋_GB2312" w:cs="Times New Roman"/>
          <w:kern w:val="0"/>
          <w:sz w:val="32"/>
          <w:szCs w:val="32"/>
        </w:rPr>
        <w:t>决战决胜脱贫攻坚，持续巩固脱贫成果</w:t>
      </w:r>
    </w:p>
    <w:p>
      <w:pPr>
        <w:spacing w:line="600" w:lineRule="exact"/>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fldChar w:fldCharType="begin"/>
      </w:r>
      <w:r>
        <w:rPr>
          <w:rFonts w:hint="eastAsia" w:ascii="Times New Roman" w:hAnsi="Times New Roman" w:eastAsia="仿宋_GB2312" w:cs="Times New Roman"/>
          <w:kern w:val="0"/>
          <w:sz w:val="32"/>
          <w:szCs w:val="32"/>
        </w:rPr>
        <w:instrText xml:space="preserve"> EQ \o\ac(</w:instrText>
      </w:r>
      <w:r>
        <w:rPr>
          <w:rFonts w:hint="eastAsia" w:ascii="Times New Roman" w:hAnsi="Times New Roman" w:eastAsia="仿宋_GB2312" w:cs="Times New Roman"/>
          <w:kern w:val="0"/>
          <w:position w:val="-6"/>
          <w:sz w:val="48"/>
          <w:szCs w:val="32"/>
        </w:rPr>
        <w:instrText xml:space="preserve">○</w:instrText>
      </w:r>
      <w:r>
        <w:rPr>
          <w:rFonts w:hint="eastAsia" w:ascii="Times New Roman" w:hAnsi="Times New Roman" w:eastAsia="仿宋_GB2312" w:cs="Times New Roman"/>
          <w:kern w:val="0"/>
          <w:sz w:val="32"/>
          <w:szCs w:val="32"/>
        </w:rPr>
        <w:instrText xml:space="preserve">,12)</w:instrText>
      </w:r>
      <w:r>
        <w:rPr>
          <w:rFonts w:hint="eastAsia" w:ascii="Times New Roman" w:hAnsi="Times New Roman" w:eastAsia="仿宋_GB2312" w:cs="Times New Roman"/>
          <w:kern w:val="0"/>
          <w:sz w:val="32"/>
          <w:szCs w:val="32"/>
        </w:rPr>
        <w:fldChar w:fldCharType="end"/>
      </w:r>
      <w:r>
        <w:rPr>
          <w:rFonts w:hint="eastAsia" w:ascii="Times New Roman" w:hAnsi="Times New Roman" w:eastAsia="仿宋_GB2312" w:cs="Times New Roman"/>
          <w:kern w:val="0"/>
          <w:sz w:val="32"/>
          <w:szCs w:val="32"/>
        </w:rPr>
        <w:t>推行干部网格化大走访，做实信息收集上报、矛盾纠纷调解、平安创建、政策宣讲等工作，保障社会大局稳定。</w:t>
      </w:r>
    </w:p>
    <w:p>
      <w:pPr>
        <w:spacing w:line="600" w:lineRule="exact"/>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fldChar w:fldCharType="begin"/>
      </w:r>
      <w:r>
        <w:rPr>
          <w:rFonts w:hint="eastAsia" w:ascii="Times New Roman" w:hAnsi="Times New Roman" w:eastAsia="仿宋_GB2312" w:cs="Times New Roman"/>
          <w:kern w:val="0"/>
          <w:sz w:val="32"/>
          <w:szCs w:val="32"/>
        </w:rPr>
        <w:instrText xml:space="preserve"> EQ \o\ac(</w:instrText>
      </w:r>
      <w:r>
        <w:rPr>
          <w:rFonts w:hint="eastAsia" w:ascii="Times New Roman" w:hAnsi="Times New Roman" w:eastAsia="仿宋_GB2312" w:cs="Times New Roman"/>
          <w:kern w:val="0"/>
          <w:position w:val="-6"/>
          <w:sz w:val="48"/>
          <w:szCs w:val="32"/>
        </w:rPr>
        <w:instrText xml:space="preserve">○</w:instrText>
      </w:r>
      <w:r>
        <w:rPr>
          <w:rFonts w:hint="eastAsia" w:ascii="Times New Roman" w:hAnsi="Times New Roman" w:eastAsia="仿宋_GB2312" w:cs="Times New Roman"/>
          <w:kern w:val="0"/>
          <w:sz w:val="32"/>
          <w:szCs w:val="32"/>
        </w:rPr>
        <w:instrText xml:space="preserve">,13)</w:instrText>
      </w:r>
      <w:r>
        <w:rPr>
          <w:rFonts w:hint="eastAsia" w:ascii="Times New Roman" w:hAnsi="Times New Roman" w:eastAsia="仿宋_GB2312" w:cs="Times New Roman"/>
          <w:kern w:val="0"/>
          <w:sz w:val="32"/>
          <w:szCs w:val="32"/>
        </w:rPr>
        <w:fldChar w:fldCharType="end"/>
      </w:r>
      <w:r>
        <w:rPr>
          <w:rFonts w:hint="eastAsia" w:ascii="Times New Roman" w:hAnsi="Times New Roman" w:eastAsia="仿宋_GB2312" w:cs="Times New Roman"/>
          <w:kern w:val="0"/>
          <w:sz w:val="32"/>
          <w:szCs w:val="32"/>
        </w:rPr>
        <w:t>积极配合、推进碧桂园征拆遗留问题处理</w:t>
      </w:r>
    </w:p>
    <w:p>
      <w:pPr>
        <w:numPr>
          <w:ilvl w:val="0"/>
          <w:numId w:val="2"/>
        </w:numPr>
        <w:spacing w:line="400" w:lineRule="exact"/>
        <w:rPr>
          <w:rFonts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部门整体支出情况</w:t>
      </w:r>
    </w:p>
    <w:p>
      <w:pPr>
        <w:spacing w:line="600" w:lineRule="exact"/>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2020年年初部门预算收入16496.9万元，预算支出16496.9万元，因碧桂园项目推进不能按时实现等调减预算收支（已经人大主席团批准）7141.5万元，2020</w:t>
      </w:r>
      <w:r>
        <w:rPr>
          <w:rFonts w:hint="eastAsia" w:ascii="Times New Roman" w:hAnsi="Times New Roman" w:eastAsia="仿宋_GB2312" w:cs="Times New Roman"/>
          <w:kern w:val="0"/>
          <w:sz w:val="32"/>
          <w:szCs w:val="32"/>
          <w:lang w:eastAsia="zh-CN"/>
        </w:rPr>
        <w:t>年</w:t>
      </w:r>
      <w:r>
        <w:rPr>
          <w:rFonts w:hint="eastAsia" w:ascii="Times New Roman" w:hAnsi="Times New Roman" w:eastAsia="仿宋_GB2312" w:cs="Times New Roman"/>
          <w:kern w:val="0"/>
          <w:sz w:val="32"/>
          <w:szCs w:val="32"/>
        </w:rPr>
        <w:t>度部门整体支出9355.4万元（含政府性基金预算支出107.97万元），包括：一般公共服务支出2777.2万元，公共安全支出35.9万元，教育支出1062.3</w:t>
      </w:r>
      <w:r>
        <w:rPr>
          <w:rFonts w:hint="eastAsia" w:ascii="Times New Roman" w:hAnsi="Times New Roman" w:eastAsia="仿宋_GB2312" w:cs="Times New Roman"/>
          <w:kern w:val="0"/>
          <w:sz w:val="32"/>
          <w:szCs w:val="32"/>
          <w:lang w:eastAsia="zh-CN"/>
        </w:rPr>
        <w:t>万元</w:t>
      </w:r>
      <w:r>
        <w:rPr>
          <w:rFonts w:hint="eastAsia" w:ascii="Times New Roman" w:hAnsi="Times New Roman" w:eastAsia="仿宋_GB2312" w:cs="Times New Roman"/>
          <w:kern w:val="0"/>
          <w:sz w:val="32"/>
          <w:szCs w:val="32"/>
        </w:rPr>
        <w:t>，文化旅游体育与传媒支出337.9万元，社会保障与就业支出537.4万元，卫生健康支出109.9万元，节能环保支出369.9万元，城乡社区建设支出1430.5万元，农林水支出2283.6万元，交通运输支出75.9万元，资源勘探工业信息等支出11.6万元，商业服务业等支出2.1万元，住房保障支出152.4万元，灾害防治及应急管理支出76.9万元，抗疫特别国债安排的支出60.9万元，其他支出31万元。</w:t>
      </w:r>
    </w:p>
    <w:p>
      <w:pPr>
        <w:spacing w:line="600" w:lineRule="exact"/>
        <w:rPr>
          <w:rFonts w:ascii="Times New Roman" w:hAnsi="Times New Roman" w:eastAsia="仿宋_GB2312" w:cs="Times New Roman"/>
          <w:kern w:val="0"/>
          <w:sz w:val="32"/>
          <w:szCs w:val="32"/>
        </w:rPr>
      </w:pPr>
      <w:r>
        <w:rPr>
          <w:rFonts w:hint="eastAsia" w:ascii="方正仿宋_GB2312" w:hAnsi="方正仿宋_GB2312" w:eastAsia="方正仿宋_GB2312" w:cs="方正仿宋_GB2312"/>
          <w:b/>
          <w:bCs/>
          <w:color w:val="000000" w:themeColor="text1"/>
          <w:sz w:val="32"/>
          <w:szCs w:val="32"/>
          <w14:textFill>
            <w14:solidFill>
              <w14:schemeClr w14:val="tx1"/>
            </w14:solidFill>
          </w14:textFill>
        </w:rPr>
        <w:t>二、整体支出管理和使用情况</w:t>
      </w:r>
    </w:p>
    <w:p>
      <w:pPr>
        <w:spacing w:line="600" w:lineRule="exact"/>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2020度部门整体支出9355.4万元，包括基本支出2265.61万元，其中人员支出2061.42万元，占比22.03%，较2019度1941.7万元增长6%，公用支出204.19万元，占比2.18%，较2019年232.1万元下降12.02%；项目支出7089.81万元，占比75.78%，较2019年6048万元增长17.23%。</w:t>
      </w:r>
    </w:p>
    <w:p>
      <w:pPr>
        <w:spacing w:line="600" w:lineRule="exact"/>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（一）基本支出的管理和使用情况</w:t>
      </w:r>
    </w:p>
    <w:p>
      <w:pPr>
        <w:spacing w:line="600" w:lineRule="exact"/>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1、基本支出是指为保障单位机构正常运转、完成</w:t>
      </w:r>
      <w:r>
        <w:rPr>
          <w:rFonts w:hint="eastAsia" w:ascii="Times New Roman" w:hAnsi="Times New Roman" w:eastAsia="仿宋_GB2312" w:cs="Times New Roman"/>
          <w:kern w:val="0"/>
          <w:sz w:val="32"/>
          <w:szCs w:val="32"/>
          <w:lang w:eastAsia="zh-CN"/>
        </w:rPr>
        <w:t>日</w:t>
      </w:r>
      <w:r>
        <w:rPr>
          <w:rFonts w:hint="eastAsia" w:ascii="Times New Roman" w:hAnsi="Times New Roman" w:eastAsia="仿宋_GB2312" w:cs="Times New Roman"/>
          <w:kern w:val="0"/>
          <w:sz w:val="32"/>
          <w:szCs w:val="32"/>
        </w:rPr>
        <w:t>常工作任务而发生的各项支出。包括用于基本工资、津贴补贴等人员经费以及办公费、印刷费、水电费、办公设备购置等日常公用经费。</w:t>
      </w:r>
    </w:p>
    <w:p>
      <w:pPr>
        <w:spacing w:line="600" w:lineRule="exact"/>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2、本着厉行节约的原则，部门严格执行机关各项制度，规范各项支出管理（采购、公务用车、租车、用餐、学习培训等），规范物资领用、规范食堂管理。公用支出较往年都有所减少。严格控制三公经费，2020度三公经费支出</w:t>
      </w:r>
      <w:r>
        <w:rPr>
          <w:rFonts w:hint="eastAsia" w:ascii="Times New Roman" w:hAnsi="Times New Roman" w:eastAsia="仿宋_GB2312" w:cs="Times New Roman"/>
          <w:kern w:val="0"/>
          <w:sz w:val="32"/>
          <w:szCs w:val="32"/>
          <w:lang w:val="en-US" w:eastAsia="zh-CN"/>
        </w:rPr>
        <w:t>14.06</w:t>
      </w:r>
      <w:r>
        <w:rPr>
          <w:rFonts w:hint="eastAsia" w:ascii="Times New Roman" w:hAnsi="Times New Roman" w:eastAsia="仿宋_GB2312" w:cs="Times New Roman"/>
          <w:kern w:val="0"/>
          <w:sz w:val="32"/>
          <w:szCs w:val="32"/>
        </w:rPr>
        <w:t>万元，其中公务接待费</w:t>
      </w:r>
      <w:r>
        <w:rPr>
          <w:rFonts w:hint="eastAsia" w:ascii="Times New Roman" w:hAnsi="Times New Roman" w:eastAsia="仿宋_GB2312" w:cs="Times New Roman"/>
          <w:kern w:val="0"/>
          <w:sz w:val="32"/>
          <w:szCs w:val="32"/>
          <w:lang w:val="en-US" w:eastAsia="zh-CN"/>
        </w:rPr>
        <w:t>10.85</w:t>
      </w:r>
      <w:r>
        <w:rPr>
          <w:rFonts w:hint="eastAsia" w:ascii="Times New Roman" w:hAnsi="Times New Roman" w:eastAsia="仿宋_GB2312" w:cs="Times New Roman"/>
          <w:kern w:val="0"/>
          <w:sz w:val="32"/>
          <w:szCs w:val="32"/>
        </w:rPr>
        <w:t>万元，公务用车购置及运行费3.21万元（其中，公务用车购置费0万元，公务用车运行费3.21万元），因公出国（境）费0万元。严格按照市级精神，规范各项津补贴、奖金发放。</w:t>
      </w:r>
    </w:p>
    <w:p>
      <w:pPr>
        <w:spacing w:line="600" w:lineRule="exact"/>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（二）项目支出的管理和使用情况</w:t>
      </w:r>
    </w:p>
    <w:p>
      <w:pPr>
        <w:spacing w:line="600" w:lineRule="exact"/>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1、项目支出是指乡镇各部门为履行工作职能，完成工作任务，需要发生的经常事务性的项目支出和完成特定工作任务或事业发展目标而发生的项目支出(包括通过发改部门立项安排的项目支出)。</w:t>
      </w:r>
    </w:p>
    <w:p>
      <w:pPr>
        <w:spacing w:line="600" w:lineRule="exact"/>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2、项目支出按照政府采购管理办法、机关财务制度（项目工程和劳务管理制度）组织实施。2020度决算项目支出共计7089.81万元，其中一般公共服务支出1465.59万元，主要为机关运行维护、组织、统计、食品安全、校车管理、维稳，抗疫等支出；公共安全支出5.6万元；教育支出1062.29万元，主要为望龙小学、望龙幼儿园建设，金洲中学等维修改造支出；文化旅游体育与传媒支出337.87万元，主要为关山古镇景区提质改造、运行维护及文物守护支出；社会保障与就业支出300.82万元，主要为老年人补助，临时救助，残疾人康复事业，就业管理，退役军人安置等一般事务性支出及敬老院建设支出；卫生健康支出52.98万元，主要为疫情防控及计划生育服务支出；节能环保支出369.86万元，主要为农村环境、生态保护支出；城乡社区支出1430.45万元，主要为碧桂园征拆遗留问题处理及渝长厦高铁建设等配套基础设施建设支出；农林水支出1719.65万元，主要为长益复线等公路建设支出，改厕支出，水利支出，扶贫及农村综合改革等支出；交通运输支出75.89万元，主要为公路养护支出；资源勘探工业信息等支出11.59万元，主要为对规模企业用水、电补助；商业服务业流通支出2.1万元，主要为畜牧防疫支出；住房保障支出86.31万元，主要为棚改支出；自然灾害防治76.91万元；其他支出31万元，主要为福彩公益金安排的对敬老院支出；抗疫特别国债安排的支出60.9万元，为改厕支出。</w:t>
      </w:r>
    </w:p>
    <w:p>
      <w:pPr>
        <w:spacing w:line="600" w:lineRule="exact"/>
        <w:rPr>
          <w:rFonts w:ascii="Times New Roman" w:hAnsi="Times New Roman" w:eastAsia="仿宋_GB2312" w:cs="Times New Roman"/>
          <w:b/>
          <w:bCs/>
          <w:kern w:val="0"/>
          <w:sz w:val="32"/>
          <w:szCs w:val="32"/>
        </w:rPr>
      </w:pPr>
      <w:r>
        <w:rPr>
          <w:rFonts w:hint="eastAsia" w:ascii="Times New Roman" w:hAnsi="Times New Roman" w:eastAsia="仿宋_GB2312" w:cs="Times New Roman"/>
          <w:b/>
          <w:bCs/>
          <w:kern w:val="0"/>
          <w:sz w:val="32"/>
          <w:szCs w:val="32"/>
        </w:rPr>
        <w:t>三、部门项目组织实施情况</w:t>
      </w:r>
    </w:p>
    <w:p>
      <w:pPr>
        <w:spacing w:line="600" w:lineRule="exact"/>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建立健全镇、村级财务制度，规范项目招投标管理流程，落实政府采购政策，加强项目抽查巡查力度，确保项目建设规范有序，社会效益及群众满意率达标。坚持保正常运转，保重点支出，保民生支出，保镇村干部基本待遇稳步增长的工作原则，按月按季及时落实，全力确保社会大局稳定。财政支出继续向广大人民群众关心的民生问题和基层村级部门倾斜，较大幅度提高了财政支出用于农村基层设施建设、农村人居环境整治、社会保障、教育卫生事业。村账镇代理工作有条不紊，及时完成村级财务清理和互联网公开工作，增强村级财务的透明度。</w:t>
      </w:r>
    </w:p>
    <w:p>
      <w:pPr>
        <w:spacing w:line="600" w:lineRule="exact"/>
        <w:rPr>
          <w:rFonts w:ascii="Times New Roman" w:hAnsi="Times New Roman" w:eastAsia="仿宋_GB2312" w:cs="Times New Roman"/>
          <w:b/>
          <w:bCs/>
          <w:kern w:val="0"/>
          <w:sz w:val="32"/>
          <w:szCs w:val="32"/>
        </w:rPr>
      </w:pPr>
      <w:r>
        <w:rPr>
          <w:rFonts w:hint="eastAsia" w:ascii="Times New Roman" w:hAnsi="Times New Roman" w:eastAsia="仿宋_GB2312" w:cs="Times New Roman"/>
          <w:b/>
          <w:bCs/>
          <w:kern w:val="0"/>
          <w:sz w:val="32"/>
          <w:szCs w:val="32"/>
        </w:rPr>
        <w:t>四、资产管理情况</w:t>
      </w:r>
    </w:p>
    <w:p>
      <w:pPr>
        <w:spacing w:line="600" w:lineRule="exact"/>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本单位资产由镇财政所专人清查管理，统一在行政事业单位资产管理平台上录入信息，打印固定资产台账及资产条码，并将条码标志粘贴至实物明显处，各办公室也明确专人对本办公室固定资产进行登记管理，资产管理安全性和准确性已逐步提高。2020年末，我单位资产合计9465</w:t>
      </w:r>
      <w:r>
        <w:rPr>
          <w:rFonts w:hint="eastAsia" w:ascii="Times New Roman" w:hAnsi="Times New Roman" w:eastAsia="仿宋_GB2312" w:cs="Times New Roman"/>
          <w:kern w:val="0"/>
          <w:sz w:val="32"/>
          <w:szCs w:val="32"/>
          <w:lang w:val="en-US" w:eastAsia="zh-CN"/>
        </w:rPr>
        <w:t>.80万</w:t>
      </w:r>
      <w:r>
        <w:rPr>
          <w:rFonts w:hint="eastAsia" w:ascii="Times New Roman" w:hAnsi="Times New Roman" w:eastAsia="仿宋_GB2312" w:cs="Times New Roman"/>
          <w:kern w:val="0"/>
          <w:sz w:val="32"/>
          <w:szCs w:val="32"/>
        </w:rPr>
        <w:t>元，流动资产4560</w:t>
      </w:r>
      <w:r>
        <w:rPr>
          <w:rFonts w:hint="eastAsia" w:ascii="Times New Roman" w:hAnsi="Times New Roman" w:eastAsia="仿宋_GB2312" w:cs="Times New Roman"/>
          <w:kern w:val="0"/>
          <w:sz w:val="32"/>
          <w:szCs w:val="32"/>
          <w:lang w:val="en-US" w:eastAsia="zh-CN"/>
        </w:rPr>
        <w:t>.</w:t>
      </w:r>
      <w:r>
        <w:rPr>
          <w:rFonts w:hint="eastAsia" w:ascii="Times New Roman" w:hAnsi="Times New Roman" w:eastAsia="仿宋_GB2312" w:cs="Times New Roman"/>
          <w:kern w:val="0"/>
          <w:sz w:val="32"/>
          <w:szCs w:val="32"/>
        </w:rPr>
        <w:t>97</w:t>
      </w:r>
      <w:r>
        <w:rPr>
          <w:rFonts w:hint="eastAsia" w:ascii="Times New Roman" w:hAnsi="Times New Roman" w:eastAsia="仿宋_GB2312" w:cs="Times New Roman"/>
          <w:kern w:val="0"/>
          <w:sz w:val="32"/>
          <w:szCs w:val="32"/>
          <w:lang w:eastAsia="zh-CN"/>
        </w:rPr>
        <w:t>万</w:t>
      </w:r>
      <w:r>
        <w:rPr>
          <w:rFonts w:hint="eastAsia" w:ascii="Times New Roman" w:hAnsi="Times New Roman" w:eastAsia="仿宋_GB2312" w:cs="Times New Roman"/>
          <w:kern w:val="0"/>
          <w:sz w:val="32"/>
          <w:szCs w:val="32"/>
        </w:rPr>
        <w:t>元，非流动资产4904</w:t>
      </w:r>
      <w:r>
        <w:rPr>
          <w:rFonts w:hint="eastAsia" w:ascii="Times New Roman" w:hAnsi="Times New Roman" w:eastAsia="仿宋_GB2312" w:cs="Times New Roman"/>
          <w:kern w:val="0"/>
          <w:sz w:val="32"/>
          <w:szCs w:val="32"/>
          <w:lang w:val="en-US" w:eastAsia="zh-CN"/>
        </w:rPr>
        <w:t>.</w:t>
      </w:r>
      <w:r>
        <w:rPr>
          <w:rFonts w:hint="eastAsia" w:ascii="Times New Roman" w:hAnsi="Times New Roman" w:eastAsia="仿宋_GB2312" w:cs="Times New Roman"/>
          <w:kern w:val="0"/>
          <w:sz w:val="32"/>
          <w:szCs w:val="32"/>
        </w:rPr>
        <w:t>8</w:t>
      </w:r>
      <w:r>
        <w:rPr>
          <w:rFonts w:hint="eastAsia" w:ascii="Times New Roman" w:hAnsi="Times New Roman" w:eastAsia="仿宋_GB2312" w:cs="Times New Roman"/>
          <w:kern w:val="0"/>
          <w:sz w:val="32"/>
          <w:szCs w:val="32"/>
          <w:lang w:val="en-US" w:eastAsia="zh-CN"/>
        </w:rPr>
        <w:t>3万</w:t>
      </w:r>
      <w:r>
        <w:rPr>
          <w:rFonts w:hint="eastAsia" w:ascii="Times New Roman" w:hAnsi="Times New Roman" w:eastAsia="仿宋_GB2312" w:cs="Times New Roman"/>
          <w:kern w:val="0"/>
          <w:sz w:val="32"/>
          <w:szCs w:val="32"/>
        </w:rPr>
        <w:t>元。固定资产的具体构成情况为：我单位固定资产原值总计为1258</w:t>
      </w:r>
      <w:r>
        <w:rPr>
          <w:rFonts w:hint="eastAsia" w:ascii="Times New Roman" w:hAnsi="Times New Roman" w:eastAsia="仿宋_GB2312" w:cs="Times New Roman"/>
          <w:kern w:val="0"/>
          <w:sz w:val="32"/>
          <w:szCs w:val="32"/>
          <w:lang w:val="en-US" w:eastAsia="zh-CN"/>
        </w:rPr>
        <w:t>.</w:t>
      </w:r>
      <w:r>
        <w:rPr>
          <w:rFonts w:hint="eastAsia" w:ascii="Times New Roman" w:hAnsi="Times New Roman" w:eastAsia="仿宋_GB2312" w:cs="Times New Roman"/>
          <w:kern w:val="0"/>
          <w:sz w:val="32"/>
          <w:szCs w:val="32"/>
        </w:rPr>
        <w:t>6</w:t>
      </w:r>
      <w:r>
        <w:rPr>
          <w:rFonts w:hint="eastAsia" w:ascii="Times New Roman" w:hAnsi="Times New Roman" w:eastAsia="仿宋_GB2312" w:cs="Times New Roman"/>
          <w:kern w:val="0"/>
          <w:sz w:val="32"/>
          <w:szCs w:val="32"/>
          <w:lang w:val="en-US" w:eastAsia="zh-CN"/>
        </w:rPr>
        <w:t>4万</w:t>
      </w:r>
      <w:r>
        <w:rPr>
          <w:rFonts w:hint="eastAsia" w:ascii="Times New Roman" w:hAnsi="Times New Roman" w:eastAsia="仿宋_GB2312" w:cs="Times New Roman"/>
          <w:kern w:val="0"/>
          <w:sz w:val="32"/>
          <w:szCs w:val="32"/>
        </w:rPr>
        <w:t>元，已计提折旧345</w:t>
      </w:r>
      <w:r>
        <w:rPr>
          <w:rFonts w:hint="eastAsia" w:ascii="Times New Roman" w:hAnsi="Times New Roman" w:eastAsia="仿宋_GB2312" w:cs="Times New Roman"/>
          <w:kern w:val="0"/>
          <w:sz w:val="32"/>
          <w:szCs w:val="32"/>
          <w:lang w:val="en-US" w:eastAsia="zh-CN"/>
        </w:rPr>
        <w:t>.</w:t>
      </w:r>
      <w:r>
        <w:rPr>
          <w:rFonts w:hint="eastAsia" w:ascii="Times New Roman" w:hAnsi="Times New Roman" w:eastAsia="仿宋_GB2312" w:cs="Times New Roman"/>
          <w:kern w:val="0"/>
          <w:sz w:val="32"/>
          <w:szCs w:val="32"/>
        </w:rPr>
        <w:t>36</w:t>
      </w:r>
      <w:r>
        <w:rPr>
          <w:rFonts w:hint="eastAsia" w:ascii="Times New Roman" w:hAnsi="Times New Roman" w:eastAsia="仿宋_GB2312" w:cs="Times New Roman"/>
          <w:kern w:val="0"/>
          <w:sz w:val="32"/>
          <w:szCs w:val="32"/>
          <w:lang w:eastAsia="zh-CN"/>
        </w:rPr>
        <w:t>万</w:t>
      </w:r>
      <w:r>
        <w:rPr>
          <w:rFonts w:hint="eastAsia" w:ascii="Times New Roman" w:hAnsi="Times New Roman" w:eastAsia="仿宋_GB2312" w:cs="Times New Roman"/>
          <w:kern w:val="0"/>
          <w:sz w:val="32"/>
          <w:szCs w:val="32"/>
        </w:rPr>
        <w:t>元，净值总计为913</w:t>
      </w:r>
      <w:r>
        <w:rPr>
          <w:rFonts w:hint="eastAsia" w:ascii="Times New Roman" w:hAnsi="Times New Roman" w:eastAsia="仿宋_GB2312" w:cs="Times New Roman"/>
          <w:kern w:val="0"/>
          <w:sz w:val="32"/>
          <w:szCs w:val="32"/>
          <w:lang w:val="en-US" w:eastAsia="zh-CN"/>
        </w:rPr>
        <w:t>.</w:t>
      </w:r>
      <w:r>
        <w:rPr>
          <w:rFonts w:hint="eastAsia" w:ascii="Times New Roman" w:hAnsi="Times New Roman" w:eastAsia="仿宋_GB2312" w:cs="Times New Roman"/>
          <w:kern w:val="0"/>
          <w:sz w:val="32"/>
          <w:szCs w:val="32"/>
        </w:rPr>
        <w:t>27</w:t>
      </w:r>
      <w:r>
        <w:rPr>
          <w:rFonts w:hint="eastAsia" w:ascii="Times New Roman" w:hAnsi="Times New Roman" w:eastAsia="仿宋_GB2312" w:cs="Times New Roman"/>
          <w:kern w:val="0"/>
          <w:sz w:val="32"/>
          <w:szCs w:val="32"/>
          <w:lang w:eastAsia="zh-CN"/>
        </w:rPr>
        <w:t>万</w:t>
      </w:r>
      <w:r>
        <w:rPr>
          <w:rFonts w:hint="eastAsia" w:ascii="Times New Roman" w:hAnsi="Times New Roman" w:eastAsia="仿宋_GB2312" w:cs="Times New Roman"/>
          <w:kern w:val="0"/>
          <w:sz w:val="32"/>
          <w:szCs w:val="32"/>
        </w:rPr>
        <w:t>元。</w:t>
      </w:r>
    </w:p>
    <w:p>
      <w:pPr>
        <w:spacing w:line="600" w:lineRule="exact"/>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1、土地：盘存土地2处，账面原值52.01万元，分别为敬老院土地48.01万元，畜牧站土地4.00万元。</w:t>
      </w:r>
    </w:p>
    <w:p>
      <w:pPr>
        <w:spacing w:line="600" w:lineRule="exact"/>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2、房屋：盘存房屋10处，账面原值872.98万元，分别为：九年制学校（实盘1栋）270.16万元;泉塘中学教师公租房（实盘1栋）145.43万元；沩桥村部（实盘1栋）136.90万元；卫生院公租房（实盘1栋）40.89万元；卫生院公租房（实盘1栋）144.67万元；关山村产业发展中心（实盘1栋）32.20万元；邮政所用房（门面）79.75万元；六角亭1.49万元；四方亭1.49万元；畜牧站（实盘1栋）20.00万元。</w:t>
      </w:r>
    </w:p>
    <w:p>
      <w:pPr>
        <w:spacing w:line="600" w:lineRule="exact"/>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3、交通运输设备：盘存车辆58辆，账面原值67.77万元。其中：索兰托轿车1辆24.98万元，车牌号湘AJZ37；皮卡车1辆11.15万元;奥特观光车10辆1.77万元；电动观光车2辆11.20万元；电动三轮车18辆11.66万元；燃油三轮车5辆3.74万元；喜德胜自行车20辆1.38万元；宗申农用三轮车1辆1.89万元。</w:t>
      </w:r>
    </w:p>
    <w:p>
      <w:pPr>
        <w:spacing w:line="600" w:lineRule="exact"/>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4、专用设备（不含交通运输）：盘存13</w:t>
      </w:r>
      <w:r>
        <w:rPr>
          <w:rFonts w:hint="eastAsia" w:ascii="Times New Roman" w:hAnsi="Times New Roman" w:eastAsia="仿宋_GB2312" w:cs="Times New Roman"/>
          <w:kern w:val="0"/>
          <w:sz w:val="32"/>
          <w:szCs w:val="32"/>
          <w:lang w:eastAsia="zh-CN"/>
        </w:rPr>
        <w:t>台</w:t>
      </w:r>
      <w:r>
        <w:rPr>
          <w:rFonts w:hint="eastAsia" w:ascii="Times New Roman" w:hAnsi="Times New Roman" w:eastAsia="仿宋_GB2312" w:cs="Times New Roman"/>
          <w:kern w:val="0"/>
          <w:sz w:val="32"/>
          <w:szCs w:val="32"/>
        </w:rPr>
        <w:t>，账面原值6.51万元。其中超声诊断仪器2台1.50万元；农药残留速测仪1台0.64万元；畜禽水产品快检设备1台1.44万元；手术器械1台0.04万元；养分速测仪1台0.41万元；音响设备2台1.44万元；执法记录仪4台0.80万元；装订机（CM-5008）1台0.24万元。</w:t>
      </w:r>
    </w:p>
    <w:p>
      <w:pPr>
        <w:spacing w:line="600" w:lineRule="exact"/>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5、通用设备（不含交通运输）：盘存300件，账面原值171.75万元。</w:t>
      </w:r>
    </w:p>
    <w:p>
      <w:pPr>
        <w:spacing w:line="600" w:lineRule="exact"/>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6、被服装具：盘存2处，账面原值15.91万元。</w:t>
      </w:r>
    </w:p>
    <w:p>
      <w:pPr>
        <w:spacing w:line="600" w:lineRule="exact"/>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7、家具用具：盘存578件，账面原值71.71万元。</w:t>
      </w:r>
    </w:p>
    <w:p>
      <w:pPr>
        <w:spacing w:line="600" w:lineRule="exact"/>
        <w:rPr>
          <w:rFonts w:ascii="Times New Roman" w:hAnsi="Times New Roman" w:eastAsia="仿宋_GB2312" w:cs="Times New Roman"/>
          <w:b/>
          <w:bCs/>
          <w:kern w:val="0"/>
          <w:sz w:val="32"/>
          <w:szCs w:val="32"/>
        </w:rPr>
      </w:pPr>
      <w:r>
        <w:rPr>
          <w:rFonts w:hint="eastAsia" w:ascii="Times New Roman" w:hAnsi="Times New Roman" w:eastAsia="仿宋_GB2312" w:cs="Times New Roman"/>
          <w:b/>
          <w:bCs/>
          <w:kern w:val="0"/>
          <w:sz w:val="32"/>
          <w:szCs w:val="32"/>
        </w:rPr>
        <w:t>五、部门整体支出绩效情况</w:t>
      </w:r>
    </w:p>
    <w:p>
      <w:pPr>
        <w:spacing w:line="600" w:lineRule="exact"/>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2020年，我镇在市委、市政府的坚强领导下，全面贯彻党的十九大和十九届二中、三中、四中、五中全会精神 ，为实现“建设都市田园综合体、打造全域旅游示范区”的发展定位，团结带领全镇广大干部群众 ，砥砺奋进，真抓实干，取得了可喜成绩。完成税收收入3427万元，在全市“大干一百天、实现双过半”大竞赛活动中位居乡镇组第一，镇机关荣获湖南省园林式单位。保障了镇村运转正常，各项工作任务圆满完成，社会大局稳定有序。整体支出绩效目标基本实现，体现如下：</w:t>
      </w:r>
    </w:p>
    <w:p>
      <w:pPr>
        <w:spacing w:line="600" w:lineRule="exact"/>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1、经济性方面：部门严格按照政策，规范人员薪酬待遇发放；厉行节约，公用经费连续减少；严格管理各项目，项目的申报、监管、验收到结算都按照各项制度规定，责任明确，管理到位，控制项目支出成本。</w:t>
      </w:r>
    </w:p>
    <w:p>
      <w:pPr>
        <w:spacing w:line="600" w:lineRule="exact"/>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2、效率性方面：保障了机关正常运转，按照部门工作规划，各项工作圆满完成，保障了渝长厦等项目有序推进，全域旅游彰显活力，乡村振兴取得实效，民生得以保障，社会大局稳定有序，改善了交通、水利等基础设施，各项事业蒸蒸日上。</w:t>
      </w:r>
    </w:p>
    <w:p>
      <w:pPr>
        <w:spacing w:line="600" w:lineRule="exact"/>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3、可持续性方面：已完成的项目，资产建有台账，设施有效管理，在建项目责任到位，如遇人员交接，项目执行情况亦交接有序，保证项目持续进行。</w:t>
      </w:r>
    </w:p>
    <w:p>
      <w:pPr>
        <w:spacing w:line="600" w:lineRule="exact"/>
        <w:rPr>
          <w:rFonts w:ascii="Times New Roman" w:hAnsi="Times New Roman" w:eastAsia="仿宋_GB2312" w:cs="Times New Roman"/>
          <w:b/>
          <w:bCs/>
          <w:kern w:val="0"/>
          <w:sz w:val="32"/>
          <w:szCs w:val="32"/>
        </w:rPr>
      </w:pPr>
      <w:r>
        <w:rPr>
          <w:rFonts w:hint="eastAsia" w:ascii="Times New Roman" w:hAnsi="Times New Roman" w:eastAsia="仿宋_GB2312" w:cs="Times New Roman"/>
          <w:b/>
          <w:bCs/>
          <w:kern w:val="0"/>
          <w:sz w:val="32"/>
          <w:szCs w:val="32"/>
        </w:rPr>
        <w:t>六、存在的主要问题</w:t>
      </w:r>
    </w:p>
    <w:p>
      <w:pPr>
        <w:spacing w:line="600" w:lineRule="exact"/>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lang w:val="en-US" w:eastAsia="zh-CN"/>
        </w:rPr>
        <w:t>1、</w:t>
      </w:r>
      <w:r>
        <w:rPr>
          <w:rFonts w:hint="eastAsia" w:ascii="Times New Roman" w:hAnsi="Times New Roman" w:eastAsia="仿宋_GB2312" w:cs="Times New Roman"/>
          <w:kern w:val="0"/>
          <w:sz w:val="32"/>
          <w:szCs w:val="32"/>
        </w:rPr>
        <w:t>绩效管理重视度有待加强，管理制度和程序有待进一步明确，以便有序执行。</w:t>
      </w:r>
      <w:bookmarkStart w:id="0" w:name="_GoBack"/>
      <w:bookmarkEnd w:id="0"/>
    </w:p>
    <w:p>
      <w:pPr>
        <w:spacing w:line="600" w:lineRule="exact"/>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2、工作机制有待进一步完善，由于对绩效评价工作的重视不够，绩效管理工作容易滞后，未形成对绩效目标进行管理的有效的工作机制。</w:t>
      </w:r>
    </w:p>
    <w:p>
      <w:pPr>
        <w:spacing w:line="600" w:lineRule="exact"/>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3、单位各部门衔接不及时，由于预算项目的前瞻性不够和不可预计性事项的发生，无法及时监控预算绩效目标实施情况。</w:t>
      </w:r>
    </w:p>
    <w:p>
      <w:pPr>
        <w:spacing w:line="600" w:lineRule="exact"/>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4、政府和财务部门在部门整体支出的资金安排和使用上仍有不可预见性，在实际工作中有资金延迟到位的情况。</w:t>
      </w:r>
    </w:p>
    <w:p>
      <w:pPr>
        <w:spacing w:line="600" w:lineRule="exact"/>
        <w:rPr>
          <w:rFonts w:ascii="Times New Roman" w:hAnsi="Times New Roman" w:eastAsia="仿宋_GB2312" w:cs="Times New Roman"/>
          <w:b/>
          <w:bCs/>
          <w:kern w:val="0"/>
          <w:sz w:val="32"/>
          <w:szCs w:val="32"/>
        </w:rPr>
      </w:pPr>
      <w:r>
        <w:rPr>
          <w:rFonts w:hint="eastAsia" w:ascii="Times New Roman" w:hAnsi="Times New Roman" w:eastAsia="仿宋_GB2312" w:cs="Times New Roman"/>
          <w:b/>
          <w:bCs/>
          <w:kern w:val="0"/>
          <w:sz w:val="32"/>
          <w:szCs w:val="32"/>
        </w:rPr>
        <w:t>七、改进措施和有关建议</w:t>
      </w:r>
    </w:p>
    <w:p>
      <w:pPr>
        <w:spacing w:line="600" w:lineRule="exact"/>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1、建议政府在平时工作中进一步加强对绩效目标监控的重视，定期对预算执行情况进行监督，使绩效目标监控与政府工作、财务工作挂钩，做到及时监控，及时控制，避免疏忽。</w:t>
      </w:r>
    </w:p>
    <w:p>
      <w:pPr>
        <w:spacing w:line="600" w:lineRule="exact"/>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2、加强各部门衔接，使预算绩效目标实施进度得到及时反馈，便于及时汇总监控。</w:t>
      </w:r>
    </w:p>
    <w:p>
      <w:pPr>
        <w:spacing w:line="600" w:lineRule="exact"/>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3、设置合理有效的绩效目标监控机制，科学设置预算绩效指标，合理安排经费和各项资金，使其物尽其用，更加贴合乡镇财务工作的实际情况，能够合理运用现有资源，及时协调上级争取资金保证各预算绩效指标的顺利实施。使绩效评价更客观全面，更能为发展政府经济，保障民生起到积极有效的作用。</w:t>
      </w:r>
    </w:p>
    <w:p>
      <w:pPr>
        <w:spacing w:line="600" w:lineRule="exact"/>
        <w:ind w:firstLine="640" w:firstLineChars="200"/>
        <w:rPr>
          <w:rFonts w:ascii="Times New Roman" w:hAnsi="Times New Roman" w:eastAsia="仿宋_GB2312" w:cs="Times New Roman"/>
          <w:kern w:val="0"/>
          <w:sz w:val="32"/>
          <w:szCs w:val="32"/>
        </w:rPr>
      </w:pPr>
    </w:p>
    <w:p>
      <w:pPr>
        <w:spacing w:line="600" w:lineRule="exact"/>
        <w:ind w:firstLine="640" w:firstLineChars="200"/>
        <w:rPr>
          <w:rFonts w:ascii="Times New Roman" w:hAnsi="Times New Roman" w:eastAsia="仿宋_GB2312" w:cs="Times New Roman"/>
          <w:kern w:val="0"/>
          <w:sz w:val="32"/>
          <w:szCs w:val="32"/>
        </w:rPr>
      </w:pPr>
    </w:p>
    <w:p>
      <w:pPr>
        <w:spacing w:line="600" w:lineRule="exact"/>
        <w:ind w:firstLine="640" w:firstLineChars="200"/>
        <w:rPr>
          <w:rFonts w:ascii="Times New Roman" w:hAnsi="Times New Roman" w:eastAsia="仿宋_GB2312" w:cs="Times New Roman"/>
          <w:kern w:val="0"/>
          <w:sz w:val="32"/>
          <w:szCs w:val="32"/>
        </w:rPr>
      </w:pPr>
    </w:p>
    <w:p>
      <w:pPr>
        <w:spacing w:line="600" w:lineRule="exact"/>
        <w:ind w:firstLine="640" w:firstLineChars="200"/>
        <w:rPr>
          <w:rFonts w:ascii="Times New Roman" w:hAnsi="Times New Roman" w:eastAsia="仿宋_GB2312" w:cs="Times New Roman"/>
          <w:kern w:val="0"/>
          <w:sz w:val="32"/>
          <w:szCs w:val="32"/>
        </w:rPr>
      </w:pPr>
    </w:p>
    <w:p>
      <w:pPr>
        <w:spacing w:line="600" w:lineRule="exact"/>
        <w:ind w:firstLine="640" w:firstLineChars="200"/>
        <w:rPr>
          <w:rFonts w:ascii="Times New Roman" w:hAnsi="Times New Roman" w:eastAsia="仿宋_GB2312" w:cs="Times New Roman"/>
          <w:kern w:val="0"/>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82446B2-2079-4789-BA37-A5B1E8BE8EEC}"/>
  </w:font>
  <w:font w:name="Arial">
    <w:panose1 w:val="020B0604020202020204"/>
    <w:charset w:val="01"/>
    <w:family w:val="swiss"/>
    <w:pitch w:val="default"/>
    <w:sig w:usb0="E0002AFF" w:usb1="C0007843" w:usb2="00000009" w:usb3="00000000" w:csb0="400001FF" w:csb1="FFFF0000"/>
    <w:embedRegular r:id="rId2" w:fontKey="{6240D22D-4494-4F61-BC00-5032EE251035}"/>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208E13E5-87F2-4D8C-AA1C-8D9BF660FF9F}"/>
  </w:font>
  <w:font w:name="Symbol">
    <w:panose1 w:val="05050102010706020507"/>
    <w:charset w:val="02"/>
    <w:family w:val="roman"/>
    <w:pitch w:val="default"/>
    <w:sig w:usb0="00000000" w:usb1="00000000" w:usb2="00000000" w:usb3="00000000" w:csb0="80000000" w:csb1="00000000"/>
    <w:embedRegular r:id="rId4" w:fontKey="{00670CDA-4BB6-4D1B-86B1-D0686DD7B445}"/>
  </w:font>
  <w:font w:name="Calibri">
    <w:panose1 w:val="020F0502020204030204"/>
    <w:charset w:val="00"/>
    <w:family w:val="swiss"/>
    <w:pitch w:val="default"/>
    <w:sig w:usb0="E00002FF" w:usb1="4000ACFF" w:usb2="00000001" w:usb3="00000000" w:csb0="2000019F" w:csb1="00000000"/>
    <w:embedRegular r:id="rId5" w:fontKey="{4D5E5C44-B486-42C6-B607-72069F086BAA}"/>
  </w:font>
  <w:font w:name="方正仿宋_GB2312">
    <w:panose1 w:val="02000000000000000000"/>
    <w:charset w:val="86"/>
    <w:family w:val="auto"/>
    <w:pitch w:val="default"/>
    <w:sig w:usb0="A00002BF" w:usb1="184F6CFA" w:usb2="00000012" w:usb3="00000000" w:csb0="00040001" w:csb1="00000000"/>
    <w:embedRegular r:id="rId6" w:fontKey="{5B1CB7CA-7BFC-4245-9288-DA3DEEE9F9B1}"/>
  </w:font>
  <w:font w:name="仿宋_GB2312">
    <w:altName w:val="仿宋"/>
    <w:panose1 w:val="00000000000000000000"/>
    <w:charset w:val="86"/>
    <w:family w:val="modern"/>
    <w:pitch w:val="default"/>
    <w:sig w:usb0="00000000" w:usb1="00000000" w:usb2="00000000" w:usb3="00000000" w:csb0="00040000" w:csb1="00000000"/>
    <w:embedRegular r:id="rId7" w:fontKey="{D662ABDA-CCC9-48A3-90F4-F555B4080187}"/>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D847E5A"/>
    <w:multiLevelType w:val="singleLevel"/>
    <w:tmpl w:val="ED847E5A"/>
    <w:lvl w:ilvl="0" w:tentative="0">
      <w:start w:val="1"/>
      <w:numFmt w:val="chineseCounting"/>
      <w:suff w:val="nothing"/>
      <w:lvlText w:val="（%1）"/>
      <w:lvlJc w:val="left"/>
      <w:rPr>
        <w:rFonts w:hint="eastAsia"/>
      </w:rPr>
    </w:lvl>
  </w:abstractNum>
  <w:abstractNum w:abstractNumId="1">
    <w:nsid w:val="2C1A5A2F"/>
    <w:multiLevelType w:val="singleLevel"/>
    <w:tmpl w:val="2C1A5A2F"/>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attachedTemplate r:id="rId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U4MThlMjcxMDI2ZjgwZDFhMzM3ZDdmNjAzMzRhOWMifQ=="/>
  </w:docVars>
  <w:rsids>
    <w:rsidRoot w:val="5B916E1E"/>
    <w:rsid w:val="000369F8"/>
    <w:rsid w:val="00142BA5"/>
    <w:rsid w:val="006E7C7B"/>
    <w:rsid w:val="00982314"/>
    <w:rsid w:val="009C036F"/>
    <w:rsid w:val="00E35178"/>
    <w:rsid w:val="00E81C0A"/>
    <w:rsid w:val="04800DE8"/>
    <w:rsid w:val="06470BA8"/>
    <w:rsid w:val="1C1F1C93"/>
    <w:rsid w:val="3092497B"/>
    <w:rsid w:val="589A09E4"/>
    <w:rsid w:val="5B916E1E"/>
    <w:rsid w:val="671B0CC5"/>
    <w:rsid w:val="6D5350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9"/>
    <w:uiPriority w:val="0"/>
    <w:pPr>
      <w:jc w:val="left"/>
    </w:pPr>
  </w:style>
  <w:style w:type="paragraph" w:styleId="3">
    <w:name w:val="Balloon Text"/>
    <w:basedOn w:val="1"/>
    <w:link w:val="11"/>
    <w:uiPriority w:val="0"/>
    <w:rPr>
      <w:sz w:val="18"/>
      <w:szCs w:val="18"/>
    </w:rPr>
  </w:style>
  <w:style w:type="paragraph" w:styleId="4">
    <w:name w:val="Normal (Web)"/>
    <w:basedOn w:val="1"/>
    <w:unhideWhenUsed/>
    <w:qFormat/>
    <w:uiPriority w:val="0"/>
    <w:pPr>
      <w:widowControl/>
      <w:spacing w:before="100" w:beforeAutospacing="1" w:after="100" w:afterAutospacing="1"/>
      <w:jc w:val="left"/>
    </w:pPr>
    <w:rPr>
      <w:rFonts w:ascii="宋体" w:hAnsi="宋体" w:cs="宋体"/>
      <w:kern w:val="0"/>
      <w:sz w:val="24"/>
    </w:rPr>
  </w:style>
  <w:style w:type="paragraph" w:styleId="5">
    <w:name w:val="annotation subject"/>
    <w:basedOn w:val="2"/>
    <w:next w:val="2"/>
    <w:link w:val="10"/>
    <w:uiPriority w:val="0"/>
    <w:rPr>
      <w:b/>
      <w:bCs/>
    </w:rPr>
  </w:style>
  <w:style w:type="character" w:styleId="8">
    <w:name w:val="annotation reference"/>
    <w:basedOn w:val="7"/>
    <w:uiPriority w:val="0"/>
    <w:rPr>
      <w:sz w:val="21"/>
      <w:szCs w:val="21"/>
    </w:rPr>
  </w:style>
  <w:style w:type="character" w:customStyle="1" w:styleId="9">
    <w:name w:val="批注文字 Char"/>
    <w:basedOn w:val="7"/>
    <w:link w:val="2"/>
    <w:uiPriority w:val="0"/>
    <w:rPr>
      <w:rFonts w:asciiTheme="minorHAnsi" w:hAnsiTheme="minorHAnsi" w:eastAsiaTheme="minorEastAsia" w:cstheme="minorBidi"/>
      <w:kern w:val="2"/>
      <w:sz w:val="21"/>
      <w:szCs w:val="24"/>
    </w:rPr>
  </w:style>
  <w:style w:type="character" w:customStyle="1" w:styleId="10">
    <w:name w:val="批注主题 Char"/>
    <w:basedOn w:val="9"/>
    <w:link w:val="5"/>
    <w:uiPriority w:val="0"/>
    <w:rPr>
      <w:rFonts w:asciiTheme="minorHAnsi" w:hAnsiTheme="minorHAnsi" w:eastAsiaTheme="minorEastAsia" w:cstheme="minorBidi"/>
      <w:b/>
      <w:bCs/>
      <w:kern w:val="2"/>
      <w:sz w:val="21"/>
      <w:szCs w:val="24"/>
    </w:rPr>
  </w:style>
  <w:style w:type="character" w:customStyle="1" w:styleId="11">
    <w:name w:val="批注框文本 Char"/>
    <w:basedOn w:val="7"/>
    <w:link w:val="3"/>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numbering" Target="numbering.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Application%20Data\Kingsoft\wps\addons\pool\win-i386\knewfileruby_1.0.0.12\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0</Template>
  <Company>HP Inc.</Company>
  <Pages>10</Pages>
  <Words>4583</Words>
  <Characters>5104</Characters>
  <Lines>38</Lines>
  <Paragraphs>10</Paragraphs>
  <TotalTime>57</TotalTime>
  <ScaleCrop>false</ScaleCrop>
  <LinksUpToDate>false</LinksUpToDate>
  <CharactersWithSpaces>5107</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2021-03-30T02:28:00Z</dcterms:created>
  <dc:creator>杨立霞</dc:creator>
  <cp:lastModifiedBy>张敏</cp:lastModifiedBy>
  <cp:lastPrinted>2021-04-01T04:30:00Z</cp:lastPrinted>
  <dcterms:modified xsi:type="dcterms:W3CDTF">2022-06-09T01:14:14Z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KSOSaveFontToCloudKey">
    <vt:lpwstr>248619652_embed</vt:lpwstr>
  </property>
  <property fmtid="{D5CDD505-2E9C-101B-9397-08002B2CF9AE}" pid="4" name="ICV">
    <vt:lpwstr>A29C0D78DB0E4DCD9B1EE8F4A42D0E6F</vt:lpwstr>
  </property>
</Properties>
</file>