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lang w:val="en-US" w:eastAsia="zh-CN"/>
        </w:rPr>
      </w:pPr>
      <w:r>
        <w:rPr>
          <w:rFonts w:hint="eastAsia" w:ascii="仿宋_GB2312" w:hAnsi="仿宋_GB2312" w:eastAsia="仿宋_GB2312" w:cs="仿宋_GB2312"/>
          <w:sz w:val="48"/>
          <w:szCs w:val="48"/>
          <w:lang w:val="en-US" w:eastAsia="zh-CN"/>
        </w:rPr>
        <w:t>2021年度部门整体支出绩效自评报告</w:t>
      </w:r>
    </w:p>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单位名称：宁乡市金洲镇人民政府</w:t>
      </w:r>
    </w:p>
    <w:p>
      <w:pPr>
        <w:keepNext w:val="0"/>
        <w:keepLines w:val="0"/>
        <w:pageBreakBefore w:val="0"/>
        <w:numPr>
          <w:ilvl w:val="0"/>
          <w:numId w:val="1"/>
        </w:numPr>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部门概况</w:t>
      </w:r>
    </w:p>
    <w:p>
      <w:pPr>
        <w:keepNext w:val="0"/>
        <w:keepLines w:val="0"/>
        <w:pageBreakBefore w:val="0"/>
        <w:numPr>
          <w:ilvl w:val="0"/>
          <w:numId w:val="2"/>
        </w:numPr>
        <w:kinsoku/>
        <w:wordWrap/>
        <w:overflowPunct/>
        <w:topLinePunct w:val="0"/>
        <w:autoSpaceDE/>
        <w:autoSpaceDN/>
        <w:bidi w:val="0"/>
        <w:adjustRightInd/>
        <w:spacing w:line="500" w:lineRule="atLeast"/>
        <w:ind w:firstLine="321" w:firstLineChars="100"/>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部门基本情况</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1、机构设置和人员情况</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金洲镇人民政府</w:t>
      </w:r>
      <w:r>
        <w:rPr>
          <w:rFonts w:hint="eastAsia" w:ascii="仿宋_GB2312" w:hAnsi="仿宋_GB2312" w:eastAsia="仿宋_GB2312" w:cs="仿宋_GB2312"/>
          <w:color w:val="000000" w:themeColor="text1"/>
          <w:sz w:val="32"/>
          <w:szCs w:val="32"/>
          <w14:textFill>
            <w14:solidFill>
              <w14:schemeClr w14:val="tx1"/>
            </w14:solidFill>
          </w14:textFill>
        </w:rPr>
        <w:t>共辖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个村（社区）、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188</w:t>
      </w:r>
      <w:r>
        <w:rPr>
          <w:rFonts w:hint="eastAsia" w:ascii="仿宋_GB2312" w:hAnsi="仿宋_GB2312" w:eastAsia="仿宋_GB2312" w:cs="仿宋_GB2312"/>
          <w:color w:val="000000" w:themeColor="text1"/>
          <w:sz w:val="32"/>
          <w:szCs w:val="32"/>
          <w14:textFill>
            <w14:solidFill>
              <w14:schemeClr w14:val="tx1"/>
            </w14:solidFill>
          </w14:textFill>
        </w:rPr>
        <w:t>个居民小组，乡镇总人口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34549人</w:t>
      </w:r>
      <w:r>
        <w:rPr>
          <w:rFonts w:hint="eastAsia" w:ascii="仿宋_GB2312" w:hAnsi="仿宋_GB2312" w:eastAsia="仿宋_GB2312" w:cs="仿宋_GB2312"/>
          <w:color w:val="000000" w:themeColor="text1"/>
          <w:sz w:val="32"/>
          <w:szCs w:val="32"/>
          <w14:textFill>
            <w14:solidFill>
              <w14:schemeClr w14:val="tx1"/>
            </w14:solidFill>
          </w14:textFill>
        </w:rPr>
        <w:t>，现有村（社区）干部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w:t>
      </w:r>
      <w:r>
        <w:rPr>
          <w:rFonts w:hint="eastAsia" w:ascii="仿宋_GB2312" w:hAnsi="仿宋_GB2312" w:eastAsia="仿宋_GB2312" w:cs="仿宋_GB2312"/>
          <w:color w:val="000000" w:themeColor="text1"/>
          <w:sz w:val="32"/>
          <w:szCs w:val="32"/>
          <w14:textFill>
            <w14:solidFill>
              <w14:schemeClr w14:val="tx1"/>
            </w14:solidFill>
          </w14:textFill>
        </w:rPr>
        <w:t>人。乡镇政府工作机构分设机关、一所三中心及一队，即</w:t>
      </w:r>
      <w:r>
        <w:rPr>
          <w:rFonts w:hint="eastAsia" w:ascii="仿宋_GB2312" w:hAnsi="仿宋_GB2312" w:eastAsia="仿宋_GB2312" w:cs="仿宋_GB2312"/>
          <w:color w:val="000000" w:themeColor="text1"/>
          <w:kern w:val="0"/>
          <w:sz w:val="32"/>
          <w:szCs w:val="32"/>
          <w14:textFill>
            <w14:solidFill>
              <w14:schemeClr w14:val="tx1"/>
            </w14:solidFill>
          </w14:textFill>
        </w:rPr>
        <w:t>政府机关、司法所、社会事务综合服务中心、农业综合服务中心、政务服务中心、综合行政执法队。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2021年财政供养</w:t>
      </w:r>
      <w:r>
        <w:rPr>
          <w:rFonts w:hint="eastAsia" w:ascii="仿宋_GB2312" w:hAnsi="仿宋_GB2312" w:eastAsia="仿宋_GB2312" w:cs="仿宋_GB2312"/>
          <w:color w:val="000000" w:themeColor="text1"/>
          <w:sz w:val="32"/>
          <w:szCs w:val="32"/>
          <w14:textFill>
            <w14:solidFill>
              <w14:schemeClr w14:val="tx1"/>
            </w14:solidFill>
          </w14:textFill>
        </w:rPr>
        <w:t>实有在职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人，其中：行政人员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工勤编制人员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1人，</w:t>
      </w:r>
      <w:r>
        <w:rPr>
          <w:rFonts w:hint="eastAsia" w:ascii="仿宋_GB2312" w:hAnsi="仿宋_GB2312" w:eastAsia="仿宋_GB2312" w:cs="仿宋_GB2312"/>
          <w:color w:val="000000" w:themeColor="text1"/>
          <w:sz w:val="32"/>
          <w:szCs w:val="32"/>
          <w14:textFill>
            <w14:solidFill>
              <w14:schemeClr w14:val="tx1"/>
            </w14:solidFill>
          </w14:textFill>
        </w:rPr>
        <w:t>全额事业人员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人、差额事业人员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人 、自收自支事业人员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，无超编人员</w:t>
      </w:r>
      <w:r>
        <w:rPr>
          <w:rFonts w:hint="eastAsia" w:ascii="仿宋_GB2312" w:hAnsi="仿宋_GB2312" w:eastAsia="仿宋_GB2312" w:cs="仿宋_GB2312"/>
          <w:color w:val="000000" w:themeColor="text1"/>
          <w:sz w:val="32"/>
          <w:szCs w:val="32"/>
          <w14:textFill>
            <w14:solidFill>
              <w14:schemeClr w14:val="tx1"/>
            </w14:solidFill>
          </w14:textFill>
        </w:rPr>
        <w:t>。离休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人，退休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2、部门主要职能</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贯彻执行党和国家的路线、方针、政策，执行上级决定和命令，依法行政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制定和组织实施村镇建设规划，部署重点工程建设，加强地方道路建设及公共设施、水利设施的管理，负责土地、林木、水等自然资源和生态环境的保护，做好护林防火工作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推进农村综合改革，落实主体功能区规划，明确发展定位，保护生态环境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发展镇村经济、文化和社会事业，建立和完善镇村（居）综合公共服务机构；引导广大农民群众发展经济，增加农民群众经济收入，促进农村生产力发展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负责本镇辖区经济社会发展事务，会同市级有关部门管理驻镇单位工作；执行城镇管理工作有关法律法规，组织抓好城镇日常管理工作，搞好城镇美化、绿化、亮化和卫生工作，组织开展辖区爱国卫生运动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执行国家各项计划生育政策，抓好本镇辖区户籍人口和外来人口计划生育管理工作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负责辖区社会治安综合治理，建立和完善镇村（居）综治信访维稳平台，加强社会管理，维护农村社会和谐稳定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加强辖区基层组织建设，巩固基层政权，搞好辖区社会主义法制建设、精神文明建设、政治文明建设、和谐社会建设，推进基层民主进程；指导、支持和帮助村（居）民委员会工作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负责本镇重大突发性事件迅速反应机制的建立和及时处置，并即时报告上级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按计划组织本级财政收入，完成国家财政计划，培植财源，管好财政资金。</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完成市委、市政府等上级交办和委托的其他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工作任务</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3、2021年重点工作规划</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培植财源，完成税收征缴任务3500万元以上。</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项目建设提速提质</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积极服务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园区项目</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sz w:val="32"/>
          <w:szCs w:val="32"/>
          <w:lang w:eastAsia="zh-CN"/>
        </w:rPr>
        <w:t>加强</w:t>
      </w:r>
      <w:r>
        <w:rPr>
          <w:rFonts w:hint="eastAsia" w:ascii="仿宋_GB2312" w:hAnsi="仿宋_GB2312" w:eastAsia="仿宋_GB2312" w:cs="仿宋_GB2312"/>
          <w:b w:val="0"/>
          <w:bCs/>
          <w:sz w:val="32"/>
          <w:szCs w:val="32"/>
        </w:rPr>
        <w:t>社会治理</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搞好乡村振兴工作</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14:textFill>
            <w14:solidFill>
              <w14:schemeClr w14:val="tx1"/>
            </w14:solidFill>
          </w14:textFill>
        </w:rPr>
        <w:t>全面深化生态治理</w:t>
      </w: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，搞好环境卫生日常管理。</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sz w:val="32"/>
          <w:szCs w:val="32"/>
        </w:rPr>
        <w:t>夯实好基层基础</w:t>
      </w: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napToGrid w:val="0"/>
        <w:spacing w:before="0" w:beforeAutospacing="0" w:after="0" w:afterAutospacing="0" w:line="500" w:lineRule="atLeast"/>
        <w:ind w:left="420" w:leftChars="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搞好疫情防控</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0" w:beforeAutospacing="0" w:after="0" w:afterAutospacing="0" w:line="500" w:lineRule="atLeast"/>
        <w:ind w:left="0" w:leftChars="0" w:firstLine="321" w:firstLineChars="100"/>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部门整体支出规模、使用方向和主要内容、涉及范围等</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度部门整体支出11967万元（含政府性基金预算支出208万元），包括：一般公共服务支出2270万元，公共安全支出40万元，教育支出216万元，科学技术支出10万元，文化旅游体育与传媒支出274万元，社会保障与就业支出621万元，卫生健康支出84万元，节能环保支出325万元，城乡社区建设支出4733万元，农林水支出2878万元，交通运输支出249万元，商业服务业等支出2万元，住房保障支出197万元，国有资本经营预算支出0.4万元，灾害防治及应急管理支出45万元，其他支出22万元。</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0" w:firstLine="320" w:firstLineChars="100"/>
        <w:textAlignment w:val="auto"/>
        <w:outlineLvl w:val="9"/>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整体支出管理和使用情况</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度部门整体支出11967万元，包括基本支出2802万元，其中人员支出2383万元，占比19.9%，较2020度2061.42万元增长15.5%，公用支出419万元，占比3.5%，较2020年204.19万元增长105%，；项目支出9165万元，占比76.6%，较2020年7089.81万元增长29%。</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（一）基本支出的管理和使用情况</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1、基本支出</w:t>
      </w:r>
      <w:r>
        <w:rPr>
          <w:rFonts w:hint="eastAsia" w:ascii="仿宋_GB2312" w:hAnsi="仿宋_GB2312" w:eastAsia="仿宋_GB2312" w:cs="仿宋_GB2312"/>
          <w:color w:val="000000" w:themeColor="text1"/>
          <w:sz w:val="32"/>
          <w:szCs w:val="32"/>
          <w14:textFill>
            <w14:solidFill>
              <w14:schemeClr w14:val="tx1"/>
            </w14:solidFill>
          </w14:textFill>
        </w:rPr>
        <w:t>是指为保障单位机构正常运转、完成目常工作任务而发生的各项支出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包括用于基本工资、津贴补贴等人员经费以及办公费、印刷费、水电费、办公设备购置等日常公用经费。</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本着厉行节约的原则，部门严格执行机关各项制度，规范各项支出管理（采购、公务用车、租车、用餐、学习培训等），规范物资领用、规范食堂管理。严格按照市级精神，规范各项津补贴、奖金发放。2021决算基本支出2802万元，其中工资福利支出2241.6万元，商品和服务支出417.3万元，对个人和家庭的补助141.7万元，资本性支出1.44万元。严格控制三公经费，“三公”经费决算数15.87万元，其中</w:t>
      </w:r>
      <w:r>
        <w:rPr>
          <w:rFonts w:hint="eastAsia" w:ascii="仿宋_GB2312" w:hAnsi="仿宋_GB2312" w:eastAsia="仿宋_GB2312" w:cs="仿宋_GB2312"/>
          <w:color w:val="000000" w:themeColor="text1"/>
          <w:sz w:val="32"/>
          <w:szCs w:val="32"/>
          <w14:textFill>
            <w14:solidFill>
              <w14:schemeClr w14:val="tx1"/>
            </w14:solidFill>
          </w14:textFill>
        </w:rPr>
        <w:t>公务接待费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10.84</w:t>
      </w:r>
      <w:r>
        <w:rPr>
          <w:rFonts w:hint="eastAsia" w:ascii="仿宋_GB2312" w:hAnsi="仿宋_GB2312" w:eastAsia="仿宋_GB2312" w:cs="仿宋_GB2312"/>
          <w:color w:val="000000" w:themeColor="text1"/>
          <w:sz w:val="32"/>
          <w:szCs w:val="32"/>
          <w14:textFill>
            <w14:solidFill>
              <w14:schemeClr w14:val="tx1"/>
            </w14:solidFill>
          </w14:textFill>
        </w:rPr>
        <w:t>万元，公务用车购置及运行费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5.03</w:t>
      </w:r>
      <w:r>
        <w:rPr>
          <w:rFonts w:hint="eastAsia" w:ascii="仿宋_GB2312" w:hAnsi="仿宋_GB2312" w:eastAsia="仿宋_GB2312" w:cs="仿宋_GB2312"/>
          <w:color w:val="000000" w:themeColor="text1"/>
          <w:sz w:val="32"/>
          <w:szCs w:val="32"/>
          <w14:textFill>
            <w14:solidFill>
              <w14:schemeClr w14:val="tx1"/>
            </w14:solidFill>
          </w14:textFill>
        </w:rPr>
        <w:t>万元（其中，公务用车购置费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万元，公务用车运行费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5.03</w:t>
      </w:r>
      <w:r>
        <w:rPr>
          <w:rFonts w:hint="eastAsia" w:ascii="仿宋_GB2312" w:hAnsi="仿宋_GB2312" w:eastAsia="仿宋_GB2312" w:cs="仿宋_GB2312"/>
          <w:color w:val="000000" w:themeColor="text1"/>
          <w:sz w:val="32"/>
          <w:szCs w:val="32"/>
          <w14:textFill>
            <w14:solidFill>
              <w14:schemeClr w14:val="tx1"/>
            </w14:solidFill>
          </w14:textFill>
        </w:rPr>
        <w:t>万元），因公出国（境）费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。“三公”经费较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2020年15.27万元略有增长，为公车运行经费增加，但未超预算。</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（二）项目支出的管理和使用情况</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1、项目支出</w:t>
      </w:r>
      <w:r>
        <w:rPr>
          <w:rFonts w:hint="eastAsia" w:ascii="仿宋_GB2312" w:hAnsi="仿宋_GB2312" w:eastAsia="仿宋_GB2312" w:cs="仿宋_GB2312"/>
          <w:color w:val="000000" w:themeColor="text1"/>
          <w:sz w:val="32"/>
          <w:szCs w:val="32"/>
          <w14:textFill>
            <w14:solidFill>
              <w14:schemeClr w14:val="tx1"/>
            </w14:solidFill>
          </w14:textFill>
        </w:rPr>
        <w:t>是指乡镇各部门为履行工作职能，完成工作任务，需要发生的经常事务性的项目支出和完成特定工作任务或事业发展目标而发生的项目支出(包括通过发改部门立项安排的项目支出)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项目支出按照政府采购管理办法、机关财务制度（项目工程和劳务管理制度）组织实施。2021度决算项目支出共计9165万元，其中一般公共服务支出957万元，主要为机关运行维护、组织、统计、食品安全、校车管理、维稳，抗疫等支出；公共安全支出3万元，为社区矫正等支出；教育支出216万元，主要为中心幼儿园建设，各学校污水处理维修改造等；科学技术支出10万元；文化旅游体育与传媒支出274万元，主要为关山古镇景区提质改造、运行维护及文物守护支出；社会保障与就业支出234万元，主要为临时救助，残疾人康复事业，就业管理，退役军人安置等一般事务性支出；卫生健康支出24万元，主要为计划生育服务支出；节能环保支出325万元，主要为农村环境卫生、生态保护支出；城乡社区支出4665万元，主要为碧桂园征拆遗留问题处理、交通安全设施、城乡配套基础设施建设支出；农林水支出2050万元，主要为公路建设支出、改厕支出，水利支出，扶贫及农村综合改革等支出；交通运输支出249万元，主要为公路养护支出；商业服务业流通支出2万元，主要为畜牧防疫支出；住房保障支出89万元，主要为中心幼儿园建设支出；灾害防治及应急管理支出45万元；其他支出22万元，主要为福彩公益金安排的对敬老院支出。</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部门项目组织实施情况</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建立健全镇、村级财务制度，规范项目招投标管理流程，落实政府采购政策，加强项目抽查巡查力度，确保项目建设规范有序，社会效益及群众满意率达标。坚持保正常运转，保重点支出，保民生支出，保镇村干部基本待遇稳步增长的工作原则，按月按季及时落实，全力确保社会大局稳定。财政支出继续向广大人民群众关心的民生问题和基层村级部门倾斜，较大幅度提高了财政支出用于农村基层设施建设、农村人居环境整治、社会保障、教育卫生事业。村账镇代理工作有条不紊，及时完成村级财务清理和互联网公开工作，增强村级财务的透明度。</w:t>
      </w:r>
    </w:p>
    <w:p>
      <w:pPr>
        <w:keepNext w:val="0"/>
        <w:keepLines w:val="0"/>
        <w:pageBreakBefore w:val="0"/>
        <w:widowControl/>
        <w:numPr>
          <w:ilvl w:val="0"/>
          <w:numId w:val="4"/>
        </w:numPr>
        <w:shd w:val="clear" w:color="auto" w:fill="FFFFFF"/>
        <w:kinsoku/>
        <w:wordWrap/>
        <w:overflowPunct/>
        <w:topLinePunct w:val="0"/>
        <w:autoSpaceDE/>
        <w:autoSpaceDN/>
        <w:bidi w:val="0"/>
        <w:adjustRightInd/>
        <w:spacing w:line="500" w:lineRule="atLeast"/>
        <w:ind w:firstLine="361" w:firstLineChars="100"/>
        <w:jc w:val="left"/>
        <w:textAlignment w:val="auto"/>
        <w:outlineLvl w:val="9"/>
        <w:rPr>
          <w:rFonts w:hint="eastAsia" w:ascii="仿宋_GB2312" w:hAnsi="仿宋_GB2312" w:eastAsia="仿宋_GB2312" w:cs="仿宋_GB2312"/>
          <w:b/>
          <w:bCs/>
          <w:color w:val="000000" w:themeColor="text1"/>
          <w:kern w:val="0"/>
          <w:sz w:val="36"/>
          <w:szCs w:val="36"/>
          <w:lang w:eastAsia="zh-CN"/>
          <w14:textFill>
            <w14:solidFill>
              <w14:schemeClr w14:val="tx1"/>
            </w14:solidFill>
          </w14:textFill>
        </w:rPr>
      </w:pPr>
      <w:r>
        <w:rPr>
          <w:rFonts w:hint="eastAsia" w:ascii="仿宋_GB2312" w:hAnsi="仿宋_GB2312" w:eastAsia="仿宋_GB2312" w:cs="仿宋_GB2312"/>
          <w:b/>
          <w:bCs/>
          <w:color w:val="000000" w:themeColor="text1"/>
          <w:kern w:val="0"/>
          <w:sz w:val="36"/>
          <w:szCs w:val="36"/>
          <w:lang w:eastAsia="zh-CN"/>
          <w14:textFill>
            <w14:solidFill>
              <w14:schemeClr w14:val="tx1"/>
            </w14:solidFill>
          </w14:textFill>
        </w:rPr>
        <w:t>资产管理情况</w:t>
      </w:r>
    </w:p>
    <w:p>
      <w:pPr>
        <w:keepNext w:val="0"/>
        <w:keepLines w:val="0"/>
        <w:pageBreakBefore w:val="0"/>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本单位资产由镇财政所专人清查管理，</w:t>
      </w:r>
      <w:r>
        <w:rPr>
          <w:rFonts w:hint="eastAsia" w:ascii="仿宋_GB2312" w:hAnsi="仿宋_GB2312" w:eastAsia="仿宋_GB2312" w:cs="仿宋_GB2312"/>
          <w:color w:val="000000" w:themeColor="text1"/>
          <w:kern w:val="0"/>
          <w:sz w:val="32"/>
          <w:szCs w:val="32"/>
          <w14:textFill>
            <w14:solidFill>
              <w14:schemeClr w14:val="tx1"/>
            </w14:solidFill>
          </w14:textFill>
        </w:rPr>
        <w:t>统一在行政事业单位资产管理平台上录入信息，打印固定资产台账及资产条码，并将条码标志粘贴至实物明显处，各办公室也明确专人对本办公室固定资产进行登记管理，资产管理安全性和准确性已逐步提高。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2021年末，我单位资产合计21021万元，流动资产4256万元，无形资产48万元，在建工程4043万元，公路资产设施11667万元，固定资产1007万元。</w:t>
      </w:r>
      <w:r>
        <w:rPr>
          <w:rFonts w:hint="eastAsia" w:ascii="仿宋_GB2312" w:hAnsi="仿宋_GB2312" w:eastAsia="仿宋_GB2312" w:cs="仿宋_GB2312"/>
          <w:color w:val="000000" w:themeColor="text1"/>
          <w:sz w:val="32"/>
          <w:szCs w:val="32"/>
          <w14:textFill>
            <w14:solidFill>
              <w14:schemeClr w14:val="tx1"/>
            </w14:solidFill>
          </w14:textFill>
        </w:rPr>
        <w:t>固定资产的具体构成情况为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我单位固定资产原值总计为1404万元，已计提折旧397万元，净值总计为1007万元。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土地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盘存土地1处，账面原值48.01万元，为敬老院土地</w:t>
      </w:r>
      <w:r>
        <w:rPr>
          <w:rFonts w:hint="eastAsia" w:ascii="仿宋_GB2312" w:hAnsi="仿宋_GB2312" w:eastAsia="仿宋_GB2312" w:cs="仿宋_GB2312"/>
          <w:color w:val="000000" w:themeColor="text1"/>
          <w:sz w:val="32"/>
          <w:szCs w:val="32"/>
          <w14:textFill>
            <w14:solidFill>
              <w14:schemeClr w14:val="tx1"/>
            </w14:solidFill>
          </w14:textFill>
        </w:rPr>
        <w:t>48.01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万元，畜牧站土地4.00万元。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2、房屋：盘存房屋10处，账面原值982.85万元，分别为：</w:t>
      </w:r>
      <w:r>
        <w:rPr>
          <w:rFonts w:hint="eastAsia" w:ascii="仿宋_GB2312" w:hAnsi="仿宋_GB2312" w:eastAsia="仿宋_GB2312" w:cs="仿宋_GB2312"/>
          <w:color w:val="000000" w:themeColor="text1"/>
          <w:sz w:val="32"/>
          <w:szCs w:val="32"/>
          <w14:textFill>
            <w14:solidFill>
              <w14:schemeClr w14:val="tx1"/>
            </w14:solidFill>
          </w14:textFill>
        </w:rPr>
        <w:t>九年制学校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（实盘1栋）</w:t>
      </w:r>
      <w:r>
        <w:rPr>
          <w:rFonts w:hint="eastAsia" w:ascii="仿宋_GB2312" w:hAnsi="仿宋_GB2312" w:eastAsia="仿宋_GB2312" w:cs="仿宋_GB2312"/>
          <w:color w:val="000000" w:themeColor="text1"/>
          <w:sz w:val="32"/>
          <w:szCs w:val="32"/>
          <w14:textFill>
            <w14:solidFill>
              <w14:schemeClr w14:val="tx1"/>
            </w14:solidFill>
          </w14:textFill>
        </w:rPr>
        <w:t>270.16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泉塘中学教师公租房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（实盘1栋）</w:t>
      </w:r>
      <w:r>
        <w:rPr>
          <w:rFonts w:hint="eastAsia" w:ascii="仿宋_GB2312" w:hAnsi="仿宋_GB2312" w:eastAsia="仿宋_GB2312" w:cs="仿宋_GB2312"/>
          <w:color w:val="000000" w:themeColor="text1"/>
          <w:sz w:val="32"/>
          <w:szCs w:val="32"/>
          <w14:textFill>
            <w14:solidFill>
              <w14:schemeClr w14:val="tx1"/>
            </w14:solidFill>
          </w14:textFill>
        </w:rPr>
        <w:t>145.43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沩桥村部（实盘1栋）136.90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卫生院公租房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（实盘1栋）</w:t>
      </w:r>
      <w:r>
        <w:rPr>
          <w:rFonts w:hint="eastAsia" w:ascii="仿宋_GB2312" w:hAnsi="仿宋_GB2312" w:eastAsia="仿宋_GB2312" w:cs="仿宋_GB2312"/>
          <w:color w:val="000000" w:themeColor="text1"/>
          <w:sz w:val="32"/>
          <w:szCs w:val="32"/>
          <w14:textFill>
            <w14:solidFill>
              <w14:schemeClr w14:val="tx1"/>
            </w14:solidFill>
          </w14:textFill>
        </w:rPr>
        <w:t>40.89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卫生院公租房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（实盘1栋）</w:t>
      </w:r>
      <w:r>
        <w:rPr>
          <w:rFonts w:hint="eastAsia" w:ascii="仿宋_GB2312" w:hAnsi="仿宋_GB2312" w:eastAsia="仿宋_GB2312" w:cs="仿宋_GB2312"/>
          <w:color w:val="000000" w:themeColor="text1"/>
          <w:sz w:val="32"/>
          <w:szCs w:val="32"/>
          <w14:textFill>
            <w14:solidFill>
              <w14:schemeClr w14:val="tx1"/>
            </w14:solidFill>
          </w14:textFill>
        </w:rPr>
        <w:t>144.67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关山村产业发展中心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（实盘1栋）</w:t>
      </w:r>
      <w:r>
        <w:rPr>
          <w:rFonts w:hint="eastAsia" w:ascii="仿宋_GB2312" w:hAnsi="仿宋_GB2312" w:eastAsia="仿宋_GB2312" w:cs="仿宋_GB2312"/>
          <w:color w:val="000000" w:themeColor="text1"/>
          <w:sz w:val="32"/>
          <w:szCs w:val="32"/>
          <w14:textFill>
            <w14:solidFill>
              <w14:schemeClr w14:val="tx1"/>
            </w14:solidFill>
          </w14:textFill>
        </w:rPr>
        <w:t>32.20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邮政所用房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门面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79.75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六角亭1.49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四方亭1.49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畜牧站（实盘1栋）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129.88万元。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3、交通运输设备：盘存车辆61辆，账面原值95.52万元。其中：</w:t>
      </w:r>
      <w:r>
        <w:rPr>
          <w:rFonts w:hint="eastAsia" w:ascii="仿宋_GB2312" w:hAnsi="仿宋_GB2312" w:eastAsia="仿宋_GB2312" w:cs="仿宋_GB2312"/>
          <w:color w:val="000000" w:themeColor="text1"/>
          <w:sz w:val="32"/>
          <w:szCs w:val="32"/>
          <w14:textFill>
            <w14:solidFill>
              <w14:schemeClr w14:val="tx1"/>
            </w14:solidFill>
          </w14:textFill>
        </w:rPr>
        <w:t>索兰托轿车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1辆</w:t>
      </w:r>
      <w:r>
        <w:rPr>
          <w:rFonts w:hint="eastAsia" w:ascii="仿宋_GB2312" w:hAnsi="仿宋_GB2312" w:eastAsia="仿宋_GB2312" w:cs="仿宋_GB2312"/>
          <w:color w:val="000000" w:themeColor="text1"/>
          <w:sz w:val="32"/>
          <w:szCs w:val="32"/>
          <w14:textFill>
            <w14:solidFill>
              <w14:schemeClr w14:val="tx1"/>
            </w14:solidFill>
          </w14:textFill>
        </w:rPr>
        <w:t>24.98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万元，车牌号湘AJZ37；皮卡车1辆11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15万元;奥特观光车10辆1.77万元；电动观光车2辆11.20万元；电动三轮车18辆11.66万元；燃油三轮车5辆3.74万元；喜德胜自行车20辆1.38万元；宗申农用三轮车1辆1.89万元；纯电动智慧消防车3辆27.75万元。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4、专用设备（不含交通运输）：盘存46件，账面原值23.17万元。其中超声诊断仪器2台1.50万元；</w:t>
      </w:r>
      <w:r>
        <w:rPr>
          <w:rFonts w:hint="eastAsia" w:ascii="仿宋_GB2312" w:hAnsi="仿宋_GB2312" w:eastAsia="仿宋_GB2312" w:cs="仿宋_GB2312"/>
          <w:color w:val="000000" w:themeColor="text1"/>
          <w:sz w:val="32"/>
          <w:szCs w:val="32"/>
          <w14:textFill>
            <w14:solidFill>
              <w14:schemeClr w14:val="tx1"/>
            </w14:solidFill>
          </w14:textFill>
        </w:rPr>
        <w:t>农药残留速测仪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1台</w:t>
      </w:r>
      <w:r>
        <w:rPr>
          <w:rFonts w:hint="eastAsia" w:ascii="仿宋_GB2312" w:hAnsi="仿宋_GB2312" w:eastAsia="仿宋_GB2312" w:cs="仿宋_GB2312"/>
          <w:color w:val="000000" w:themeColor="text1"/>
          <w:sz w:val="32"/>
          <w:szCs w:val="32"/>
          <w14:textFill>
            <w14:solidFill>
              <w14:schemeClr w14:val="tx1"/>
            </w14:solidFill>
          </w14:textFill>
        </w:rPr>
        <w:t>0.64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畜禽水产品快检设备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1台</w:t>
      </w:r>
      <w:r>
        <w:rPr>
          <w:rFonts w:hint="eastAsia" w:ascii="仿宋_GB2312" w:hAnsi="仿宋_GB2312" w:eastAsia="仿宋_GB2312" w:cs="仿宋_GB2312"/>
          <w:color w:val="000000" w:themeColor="text1"/>
          <w:sz w:val="32"/>
          <w:szCs w:val="32"/>
          <w14:textFill>
            <w14:solidFill>
              <w14:schemeClr w14:val="tx1"/>
            </w14:solidFill>
          </w14:textFill>
        </w:rPr>
        <w:t>1.44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万元；手术器械1台0.04万元；养分速测仪1台0.41万元；音响设备2台1.44万元；执法记录仪4台0.80万元；</w:t>
      </w:r>
      <w:r>
        <w:rPr>
          <w:rFonts w:hint="eastAsia" w:ascii="仿宋_GB2312" w:hAnsi="仿宋_GB2312" w:eastAsia="仿宋_GB2312" w:cs="仿宋_GB2312"/>
          <w:color w:val="000000" w:themeColor="text1"/>
          <w:sz w:val="32"/>
          <w:szCs w:val="32"/>
          <w14:textFill>
            <w14:solidFill>
              <w14:schemeClr w14:val="tx1"/>
            </w14:solidFill>
          </w14:textFill>
        </w:rPr>
        <w:t>装订机</w:t>
      </w:r>
      <w:r>
        <w:rPr>
          <w:rFonts w:hint="eastAsia" w:ascii="仿宋_GB2312" w:hAnsi="仿宋_GB2312" w:eastAsia="仿宋_GB2312" w:cs="仿宋_GB2312"/>
          <w:color w:val="000000" w:themeColor="text1"/>
          <w:sz w:val="32"/>
          <w:szCs w:val="32"/>
          <w:lang w:eastAsia="zh-CN"/>
          <w14:textFill>
            <w14:solidFill>
              <w14:schemeClr w14:val="tx1"/>
            </w14:solidFill>
          </w14:textFill>
        </w:rPr>
        <w:t>（CM-5008）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1台</w:t>
      </w:r>
      <w:r>
        <w:rPr>
          <w:rFonts w:hint="eastAsia" w:ascii="仿宋_GB2312" w:hAnsi="仿宋_GB2312" w:eastAsia="仿宋_GB2312" w:cs="仿宋_GB2312"/>
          <w:color w:val="000000" w:themeColor="text1"/>
          <w:sz w:val="32"/>
          <w:szCs w:val="32"/>
          <w14:textFill>
            <w14:solidFill>
              <w14:schemeClr w14:val="tx1"/>
            </w14:solidFill>
          </w14:textFill>
        </w:rPr>
        <w:t>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万元；畜牧站专用仪器设备16台11.1万元；救生艇等2.83万；消防灭火设备1.78万；割草机等0.34万；远程教育幕布3张0.15万元；交通执法取证设备0.41万元。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5、通用设备（不含交通运输）：盘存365件，账面原值</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91.06万元。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6、被服装具：盘存2处，账面原值</w:t>
      </w:r>
      <w:r>
        <w:rPr>
          <w:rFonts w:hint="eastAsia" w:ascii="仿宋_GB2312" w:hAnsi="仿宋_GB2312" w:eastAsia="仿宋_GB2312" w:cs="仿宋_GB2312"/>
          <w:color w:val="000000" w:themeColor="text1"/>
          <w:sz w:val="32"/>
          <w:szCs w:val="32"/>
          <w14:textFill>
            <w14:solidFill>
              <w14:schemeClr w14:val="tx1"/>
            </w14:solidFill>
          </w14:textFill>
        </w:rPr>
        <w:t>15.91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p>
    <w:p>
      <w:pPr>
        <w:keepNext w:val="0"/>
        <w:keepLines w:val="0"/>
        <w:pageBreakBefore w:val="0"/>
        <w:numPr>
          <w:ilvl w:val="0"/>
          <w:numId w:val="0"/>
        </w:numPr>
        <w:kinsoku/>
        <w:wordWrap/>
        <w:overflowPunct/>
        <w:topLinePunct w:val="0"/>
        <w:autoSpaceDE/>
        <w:autoSpaceDN/>
        <w:bidi w:val="0"/>
        <w:adjustRightInd/>
        <w:spacing w:line="500" w:lineRule="atLeast"/>
        <w:ind w:firstLine="320" w:firstLineChars="1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7、家具用具：盘存605件，账面原值95.26万元。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pStyle w:val="8"/>
        <w:keepNext w:val="0"/>
        <w:keepLines w:val="0"/>
        <w:pageBreakBefore w:val="0"/>
        <w:numPr>
          <w:ilvl w:val="0"/>
          <w:numId w:val="4"/>
        </w:numPr>
        <w:shd w:val="clear" w:color="auto" w:fill="FFFFFF"/>
        <w:kinsoku/>
        <w:wordWrap/>
        <w:overflowPunct/>
        <w:topLinePunct w:val="0"/>
        <w:autoSpaceDE/>
        <w:autoSpaceDN/>
        <w:bidi w:val="0"/>
        <w:adjustRightInd/>
        <w:snapToGrid w:val="0"/>
        <w:spacing w:before="0" w:beforeAutospacing="0" w:after="0" w:afterAutospacing="0" w:line="500" w:lineRule="atLeast"/>
        <w:ind w:left="0" w:leftChars="0" w:firstLine="361" w:firstLineChars="100"/>
        <w:textAlignment w:val="auto"/>
        <w:outlineLvl w:val="9"/>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部门整体支出绩效情况</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firstLine="320" w:firstLineChars="1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年，我镇在市委、市政府的坚强领导下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全面贯彻党的十九大和十九届</w:t>
      </w:r>
      <w:r>
        <w:rPr>
          <w:rFonts w:hint="eastAsia" w:ascii="仿宋_GB2312" w:hAnsi="仿宋_GB2312" w:eastAsia="仿宋_GB2312" w:cs="仿宋_GB2312"/>
          <w:color w:val="000000" w:themeColor="text1"/>
          <w:sz w:val="32"/>
          <w:szCs w:val="32"/>
          <w:lang w:eastAsia="zh-CN"/>
          <w14:textFill>
            <w14:solidFill>
              <w14:schemeClr w14:val="tx1"/>
            </w14:solidFill>
          </w14:textFill>
        </w:rPr>
        <w:t>历次</w:t>
      </w:r>
      <w:r>
        <w:rPr>
          <w:rFonts w:hint="eastAsia" w:ascii="仿宋_GB2312" w:hAnsi="仿宋_GB2312" w:eastAsia="仿宋_GB2312" w:cs="仿宋_GB2312"/>
          <w:color w:val="000000" w:themeColor="text1"/>
          <w:sz w:val="32"/>
          <w:szCs w:val="32"/>
          <w14:textFill>
            <w14:solidFill>
              <w14:schemeClr w14:val="tx1"/>
            </w14:solidFill>
          </w14:textFill>
        </w:rPr>
        <w:t>全会精神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rPr>
        <w:t>紧扣市委全面建设“</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强市、幸福宁乡”的发展定位，紧盯“</w:t>
      </w:r>
      <w:r>
        <w:rPr>
          <w:rFonts w:hint="eastAsia" w:ascii="仿宋_GB2312" w:hAnsi="仿宋_GB2312" w:eastAsia="仿宋_GB2312" w:cs="仿宋_GB2312"/>
          <w:sz w:val="32"/>
          <w:szCs w:val="32"/>
          <w:lang w:eastAsia="zh-CN"/>
        </w:rPr>
        <w:t>建设好金洲新城、服务好工业园区、打造好文旅关山、实施好乡村振兴</w:t>
      </w:r>
      <w:r>
        <w:rPr>
          <w:rFonts w:hint="eastAsia" w:ascii="仿宋_GB2312" w:hAnsi="仿宋_GB2312" w:eastAsia="仿宋_GB2312" w:cs="仿宋_GB2312"/>
          <w:sz w:val="32"/>
          <w:szCs w:val="32"/>
        </w:rPr>
        <w:t>”的总体思路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团结带领全镇上下，携手奋进、勇于拼搏、攻坚克难，科学应对疫情挑战，较好的完成了各项工作任务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firstLine="321" w:firstLineChars="100"/>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聚焦经济建设，一心一意抓发展</w:t>
      </w:r>
      <w:r>
        <w:rPr>
          <w:rFonts w:hint="eastAsia" w:ascii="仿宋_GB2312" w:hAnsi="仿宋_GB2312" w:eastAsia="仿宋_GB2312" w:cs="仿宋_GB2312"/>
          <w:b/>
          <w:sz w:val="32"/>
          <w:szCs w:val="32"/>
          <w:lang w:eastAsia="zh-CN"/>
        </w:rPr>
        <w:t>，我镇荣获长沙市集团经济发展先进乡镇，完成了目标任务。主要体现如下方面：</w:t>
      </w:r>
    </w:p>
    <w:p>
      <w:pPr>
        <w:keepNext w:val="0"/>
        <w:keepLines w:val="0"/>
        <w:pageBreakBefore w:val="0"/>
        <w:widowControl w:val="0"/>
        <w:kinsoku/>
        <w:wordWrap/>
        <w:overflowPunct/>
        <w:topLinePunct w:val="0"/>
        <w:autoSpaceDE/>
        <w:autoSpaceDN/>
        <w:bidi w:val="0"/>
        <w:adjustRightInd/>
        <w:snapToGrid/>
        <w:spacing w:line="500" w:lineRule="atLeast"/>
        <w:ind w:firstLine="320" w:firstLineChars="1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完成一般公共预算收入3826万元，规模工业总产值11.46亿元，社会固定资产投资10.9亿元，社会消费品零售总额1.16亿元。</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 w:val="0"/>
          <w:bCs w:val="0"/>
          <w:kern w:val="0"/>
          <w:sz w:val="32"/>
          <w:szCs w:val="32"/>
          <w:shd w:val="clear" w:color="auto" w:fill="FFFFFF"/>
          <w:lang w:bidi="ar"/>
        </w:rPr>
        <w:t>紧扣“工业强市”战略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Cs/>
          <w:sz w:val="32"/>
          <w:szCs w:val="32"/>
        </w:rPr>
        <w:t>配合城发集团启动金洲商贸城二期建设，完成湖南邦盛、星邦智造</w:t>
      </w:r>
      <w:r>
        <w:rPr>
          <w:rFonts w:hint="eastAsia" w:ascii="仿宋_GB2312" w:hAnsi="仿宋_GB2312" w:eastAsia="仿宋_GB2312" w:cs="仿宋_GB2312"/>
          <w:bCs/>
          <w:sz w:val="32"/>
          <w:szCs w:val="32"/>
          <w:lang w:val="en-US" w:eastAsia="zh-CN"/>
        </w:rPr>
        <w:t>城</w:t>
      </w:r>
      <w:r>
        <w:rPr>
          <w:rFonts w:hint="eastAsia" w:ascii="仿宋_GB2312" w:hAnsi="仿宋_GB2312" w:eastAsia="仿宋_GB2312" w:cs="仿宋_GB2312"/>
          <w:bCs/>
          <w:sz w:val="32"/>
          <w:szCs w:val="32"/>
        </w:rPr>
        <w:t>、邦普六期和七期等</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3个重大项目的征地拆迁、项目建设工作，创造了“金洲速度”。</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 w:val="0"/>
          <w:bCs w:val="0"/>
          <w:kern w:val="0"/>
          <w:sz w:val="32"/>
          <w:szCs w:val="32"/>
          <w:shd w:val="clear" w:color="auto" w:fill="FFFFFF"/>
          <w:lang w:bidi="ar"/>
        </w:rPr>
        <w:t>紧聚营商发展环境，</w:t>
      </w:r>
      <w:r>
        <w:rPr>
          <w:rFonts w:hint="eastAsia" w:ascii="仿宋_GB2312" w:hAnsi="仿宋_GB2312" w:eastAsia="仿宋_GB2312" w:cs="仿宋_GB2312"/>
          <w:bCs/>
          <w:sz w:val="32"/>
          <w:szCs w:val="32"/>
        </w:rPr>
        <w:t>积极服务长益复线、渝长厦高铁等重大项目建设，着力保障渝长厦高铁于今年六月正式通车。全力服务园区建设和企业落户，化解各类矛盾400余起，当好了金牌服务“店小二”，获评宁乡市优化营商环境先进单位。</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 w:val="0"/>
          <w:bCs w:val="0"/>
          <w:kern w:val="0"/>
          <w:sz w:val="32"/>
          <w:szCs w:val="32"/>
        </w:rPr>
        <w:t>全心全意发展集体经济，</w:t>
      </w:r>
      <w:r>
        <w:rPr>
          <w:rFonts w:hint="eastAsia" w:ascii="仿宋_GB2312" w:hAnsi="仿宋_GB2312" w:eastAsia="仿宋_GB2312" w:cs="仿宋_GB2312"/>
          <w:bCs/>
          <w:sz w:val="32"/>
          <w:szCs w:val="32"/>
        </w:rPr>
        <w:t>关山社区挖掘乡村旅游、资源开发型经济。同兴村、龙桥村、全民社区发展物业型经济，箭楼村、颜塘村定位土地合作型经济，全镇6个村（社区）集体经济收入均超过20万元，其中全民社区超过100万元，龙桥村超过200万元，同兴村达600万元。</w:t>
      </w:r>
    </w:p>
    <w:p>
      <w:pPr>
        <w:pStyle w:val="4"/>
        <w:keepNext w:val="0"/>
        <w:keepLines w:val="0"/>
        <w:pageBreakBefore w:val="0"/>
        <w:numPr>
          <w:ilvl w:val="0"/>
          <w:numId w:val="0"/>
        </w:numPr>
        <w:kinsoku/>
        <w:wordWrap/>
        <w:overflowPunct/>
        <w:topLinePunct w:val="0"/>
        <w:autoSpaceDN/>
        <w:bidi w:val="0"/>
        <w:spacing w:after="0" w:line="500" w:lineRule="atLeast"/>
        <w:ind w:leftChars="0" w:firstLine="309" w:firstLineChars="100"/>
        <w:textAlignment w:val="auto"/>
        <w:rPr>
          <w:rFonts w:hint="eastAsia" w:ascii="仿宋_GB2312" w:hAnsi="仿宋_GB2312" w:eastAsia="仿宋_GB2312" w:cs="仿宋_GB2312"/>
          <w:b/>
          <w:bCs/>
          <w:spacing w:val="-6"/>
          <w:kern w:val="0"/>
          <w:sz w:val="32"/>
          <w:szCs w:val="32"/>
          <w:shd w:val="clear" w:color="auto" w:fill="FFFFFF"/>
          <w:lang w:eastAsia="zh-CN" w:bidi="ar"/>
        </w:rPr>
      </w:pPr>
      <w:r>
        <w:rPr>
          <w:rFonts w:hint="eastAsia" w:ascii="仿宋_GB2312" w:hAnsi="仿宋_GB2312" w:eastAsia="仿宋_GB2312" w:cs="仿宋_GB2312"/>
          <w:b/>
          <w:bCs/>
          <w:spacing w:val="-6"/>
          <w:kern w:val="0"/>
          <w:sz w:val="32"/>
          <w:szCs w:val="32"/>
          <w:shd w:val="clear" w:color="auto" w:fill="FFFFFF"/>
          <w:lang w:eastAsia="zh-CN" w:bidi="ar"/>
        </w:rPr>
        <w:t>（二）</w:t>
      </w:r>
      <w:r>
        <w:rPr>
          <w:rFonts w:hint="eastAsia" w:ascii="仿宋_GB2312" w:hAnsi="仿宋_GB2312" w:eastAsia="仿宋_GB2312" w:cs="仿宋_GB2312"/>
          <w:b/>
          <w:bCs/>
          <w:spacing w:val="-6"/>
          <w:kern w:val="0"/>
          <w:sz w:val="32"/>
          <w:szCs w:val="32"/>
          <w:shd w:val="clear" w:color="auto" w:fill="FFFFFF"/>
          <w:lang w:bidi="ar"/>
        </w:rPr>
        <w:t>用心干事，乡村振兴增添新动能</w:t>
      </w:r>
      <w:r>
        <w:rPr>
          <w:rFonts w:hint="eastAsia" w:ascii="仿宋_GB2312" w:hAnsi="仿宋_GB2312" w:eastAsia="仿宋_GB2312" w:cs="仿宋_GB2312"/>
          <w:b/>
          <w:bCs/>
          <w:spacing w:val="-6"/>
          <w:kern w:val="0"/>
          <w:sz w:val="32"/>
          <w:szCs w:val="32"/>
          <w:shd w:val="clear" w:color="auto" w:fill="FFFFFF"/>
          <w:lang w:eastAsia="zh-CN" w:bidi="ar"/>
        </w:rPr>
        <w:t>，生态环境改善显著，关山社区获评湖南省乡村旅游重点村，箭楼村成功创建省级卫生村。主要体现如下：</w:t>
      </w:r>
    </w:p>
    <w:p>
      <w:pPr>
        <w:keepNext w:val="0"/>
        <w:keepLines w:val="0"/>
        <w:pageBreakBefore w:val="0"/>
        <w:widowControl w:val="0"/>
        <w:kinsoku/>
        <w:wordWrap/>
        <w:overflowPunct/>
        <w:topLinePunct w:val="0"/>
        <w:autoSpaceDE/>
        <w:autoSpaceDN/>
        <w:bidi w:val="0"/>
        <w:adjustRightInd/>
        <w:snapToGrid/>
        <w:spacing w:line="500" w:lineRule="atLeast"/>
        <w:ind w:firstLine="321"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val="0"/>
          <w:bCs w:val="0"/>
          <w:kern w:val="0"/>
          <w:sz w:val="32"/>
          <w:szCs w:val="32"/>
        </w:rPr>
        <w:t>全心全意打造关山文旅，</w:t>
      </w:r>
      <w:r>
        <w:rPr>
          <w:rFonts w:hint="eastAsia" w:ascii="仿宋_GB2312" w:hAnsi="仿宋_GB2312" w:eastAsia="仿宋_GB2312" w:cs="仿宋_GB2312"/>
          <w:bCs/>
          <w:sz w:val="32"/>
          <w:szCs w:val="32"/>
        </w:rPr>
        <w:t>推动关山民宿、健峰农庄山野民俗村项目建设，“葡萄美景醉关山”的绝美景色徐徐展现。克服疫情带来的影响，关山旅游景区全年接纳游客28.7万人次，旅游收入近900万元，特色农家乐等餐饮行业营业收入达650余万元，关山文旅美名远扬。</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 w:val="0"/>
          <w:bCs w:val="0"/>
          <w:kern w:val="0"/>
          <w:sz w:val="32"/>
          <w:szCs w:val="32"/>
        </w:rPr>
        <w:t>全心全意建设宜居村镇，</w:t>
      </w:r>
      <w:r>
        <w:rPr>
          <w:rFonts w:hint="eastAsia" w:ascii="仿宋_GB2312" w:hAnsi="仿宋_GB2312" w:eastAsia="仿宋_GB2312" w:cs="仿宋_GB2312"/>
          <w:bCs/>
          <w:sz w:val="32"/>
          <w:szCs w:val="32"/>
        </w:rPr>
        <w:t>统筹推进路长制、河长制、林长制工作，定期开展“逢十”大清整活动，非法采砂联合执法行动，宣传引导文明祭祀、禁燃限放，有效推动了生态环境质量持续提升。通过串珠成链、并链成片的方式，成功打造了关山、颜塘、箭楼美丽屋场集群。6个美丽屋场均通过省级示范点验收，成功迎接上级领导多批次调研。</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 w:val="0"/>
          <w:bCs w:val="0"/>
          <w:sz w:val="32"/>
          <w:szCs w:val="32"/>
        </w:rPr>
        <w:t>突出人居</w:t>
      </w:r>
      <w:r>
        <w:rPr>
          <w:rFonts w:hint="eastAsia" w:ascii="仿宋_GB2312" w:hAnsi="仿宋_GB2312" w:eastAsia="仿宋_GB2312" w:cs="仿宋_GB2312"/>
          <w:b w:val="0"/>
          <w:bCs w:val="0"/>
          <w:kern w:val="2"/>
          <w:sz w:val="32"/>
          <w:szCs w:val="32"/>
        </w:rPr>
        <w:t>环境，全力以赴抓治理</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Cs/>
          <w:sz w:val="32"/>
          <w:szCs w:val="32"/>
        </w:rPr>
        <w:t>精细服务城市管理，严整治，控拆违，查处违建26起，拆除违建3000平方米，新增违法建设实现“零增长”。</w:t>
      </w:r>
      <w:r>
        <w:rPr>
          <w:rFonts w:hint="eastAsia" w:ascii="仿宋_GB2312" w:hAnsi="仿宋_GB2312" w:eastAsia="仿宋_GB2312" w:cs="仿宋_GB2312"/>
          <w:sz w:val="32"/>
          <w:szCs w:val="32"/>
          <w:lang w:val="en-US" w:eastAsia="zh-CN"/>
        </w:rPr>
        <w:t>定期开展了“逢十”大清整活动，提升群众幸福指数，改厕60座，完成了右干渠油污治理工作；坚持因河施策，长效治理，采取“河长制+治四乱”模式，加强水环境保护；成立了林长制工作委员会，积极推动林长制工作；沩水颜塘段2900米成功创建小微水体示范片；完成国土卫片整改18次</w:t>
      </w:r>
    </w:p>
    <w:p>
      <w:pPr>
        <w:keepNext w:val="0"/>
        <w:keepLines w:val="0"/>
        <w:pageBreakBefore w:val="0"/>
        <w:kinsoku/>
        <w:wordWrap/>
        <w:overflowPunct/>
        <w:topLinePunct w:val="0"/>
        <w:autoSpaceDE w:val="0"/>
        <w:autoSpaceDN/>
        <w:bidi w:val="0"/>
        <w:adjustRightInd w:val="0"/>
        <w:snapToGrid w:val="0"/>
        <w:spacing w:line="500" w:lineRule="atLeast"/>
        <w:ind w:firstLine="320" w:firstLineChars="100"/>
        <w:textAlignment w:val="auto"/>
        <w:rPr>
          <w:rFonts w:hint="eastAsia" w:ascii="仿宋_GB2312" w:hAnsi="仿宋_GB2312" w:eastAsia="仿宋_GB2312" w:cs="仿宋_GB2312"/>
          <w:bCs/>
          <w:sz w:val="32"/>
          <w:szCs w:val="32"/>
        </w:rPr>
      </w:pPr>
    </w:p>
    <w:p>
      <w:pPr>
        <w:keepNext w:val="0"/>
        <w:keepLines w:val="0"/>
        <w:pageBreakBefore w:val="0"/>
        <w:numPr>
          <w:ilvl w:val="0"/>
          <w:numId w:val="2"/>
        </w:numPr>
        <w:kinsoku/>
        <w:wordWrap/>
        <w:overflowPunct/>
        <w:topLinePunct w:val="0"/>
        <w:autoSpaceDE w:val="0"/>
        <w:autoSpaceDN/>
        <w:bidi w:val="0"/>
        <w:adjustRightInd w:val="0"/>
        <w:snapToGrid w:val="0"/>
        <w:spacing w:line="500" w:lineRule="atLeast"/>
        <w:ind w:left="0" w:leftChars="0" w:firstLine="321" w:firstLineChars="1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决心成事，民生福祉实现新改善</w:t>
      </w:r>
      <w:r>
        <w:rPr>
          <w:rFonts w:hint="eastAsia" w:ascii="仿宋_GB2312" w:hAnsi="仿宋_GB2312" w:eastAsia="仿宋_GB2312" w:cs="仿宋_GB2312"/>
          <w:b/>
          <w:kern w:val="0"/>
          <w:sz w:val="32"/>
          <w:szCs w:val="32"/>
          <w:lang w:eastAsia="zh-CN"/>
        </w:rPr>
        <w:t>，干群关系不断改善，群众满意率不断上升</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lang w:eastAsia="zh-CN"/>
        </w:rPr>
        <w:t>主要体现如下：</w:t>
      </w:r>
    </w:p>
    <w:p>
      <w:pPr>
        <w:keepNext w:val="0"/>
        <w:keepLines w:val="0"/>
        <w:pageBreakBefore w:val="0"/>
        <w:widowControl w:val="0"/>
        <w:kinsoku/>
        <w:wordWrap/>
        <w:overflowPunct/>
        <w:topLinePunct w:val="0"/>
        <w:autoSpaceDE/>
        <w:autoSpaceDN/>
        <w:bidi w:val="0"/>
        <w:adjustRightInd/>
        <w:snapToGrid/>
        <w:spacing w:line="500" w:lineRule="atLeast"/>
        <w:ind w:firstLine="321"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shd w:val="clear" w:color="auto" w:fill="FFFFFF"/>
          <w:lang w:val="en-US" w:eastAsia="zh-CN" w:bidi="ar"/>
        </w:rPr>
        <w:t>1、</w:t>
      </w:r>
      <w:r>
        <w:rPr>
          <w:rFonts w:hint="eastAsia" w:ascii="仿宋_GB2312" w:hAnsi="仿宋_GB2312" w:eastAsia="仿宋_GB2312" w:cs="仿宋_GB2312"/>
          <w:b w:val="0"/>
          <w:bCs w:val="0"/>
          <w:kern w:val="0"/>
          <w:sz w:val="32"/>
          <w:szCs w:val="32"/>
          <w:shd w:val="clear" w:color="auto" w:fill="FFFFFF"/>
          <w:lang w:bidi="ar"/>
        </w:rPr>
        <w:t>“民生清单”不断变厚，</w:t>
      </w:r>
      <w:r>
        <w:rPr>
          <w:rFonts w:hint="eastAsia" w:ascii="仿宋_GB2312" w:hAnsi="仿宋_GB2312" w:eastAsia="仿宋_GB2312" w:cs="仿宋_GB2312"/>
          <w:bCs/>
          <w:sz w:val="32"/>
          <w:szCs w:val="32"/>
        </w:rPr>
        <w:t>精准识别脱贫监测户29户34人，精准铺排产业资金67万元，鼓励和带动监测人口发展自主产业7户，实现有意愿和有能力监测户自主发展产业全覆盖。持续开展“金洲夜话，八点有约”活动，深入推进“四联五到位”民情大走访，解决问题309个，调解矛盾212起，赢得了广大群众的支持和拥护。稳步推进12345政务热线工作，共办理工单361个，满意度98.17%，</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b/>
          <w:bCs/>
          <w:kern w:val="0"/>
          <w:sz w:val="32"/>
          <w:szCs w:val="32"/>
          <w:shd w:val="clear" w:color="auto" w:fill="FFFFFF"/>
          <w:lang w:bidi="ar"/>
        </w:rPr>
        <w:t>“</w:t>
      </w:r>
      <w:r>
        <w:rPr>
          <w:rFonts w:hint="eastAsia" w:ascii="仿宋_GB2312" w:hAnsi="仿宋_GB2312" w:eastAsia="仿宋_GB2312" w:cs="仿宋_GB2312"/>
          <w:b w:val="0"/>
          <w:bCs w:val="0"/>
          <w:kern w:val="0"/>
          <w:sz w:val="32"/>
          <w:szCs w:val="32"/>
          <w:shd w:val="clear" w:color="auto" w:fill="FFFFFF"/>
          <w:lang w:bidi="ar"/>
        </w:rPr>
        <w:t>群众红利”不断增多，</w:t>
      </w:r>
      <w:r>
        <w:rPr>
          <w:rFonts w:hint="eastAsia" w:ascii="仿宋_GB2312" w:hAnsi="仿宋_GB2312" w:eastAsia="仿宋_GB2312" w:cs="仿宋_GB2312"/>
          <w:bCs/>
          <w:sz w:val="32"/>
          <w:szCs w:val="32"/>
        </w:rPr>
        <w:t>完成低保审批权限下放试点和养老保险待遇及社保卡核查“回头看”等工作，发放低保、特困、大病救助、临时救助等资金近500万元。教育基础设施不断完善，教育教学质量稳步提升，中心小学、中心幼儿园、关山小学、泉塘中学等污水管网建设完成，医疗设施、道路交通等设施不断完善，人民生活更加便利。</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 w:val="0"/>
          <w:bCs w:val="0"/>
          <w:kern w:val="0"/>
          <w:sz w:val="32"/>
          <w:szCs w:val="32"/>
          <w:shd w:val="clear" w:color="auto" w:fill="FFFFFF"/>
          <w:lang w:bidi="ar"/>
        </w:rPr>
        <w:t>“安全底线”不断压实</w:t>
      </w:r>
      <w:r>
        <w:rPr>
          <w:rFonts w:hint="eastAsia" w:ascii="仿宋_GB2312" w:hAnsi="仿宋_GB2312" w:eastAsia="仿宋_GB2312" w:cs="仿宋_GB2312"/>
          <w:b w:val="0"/>
          <w:bCs w:val="0"/>
          <w:kern w:val="0"/>
          <w:sz w:val="32"/>
          <w:szCs w:val="32"/>
          <w:shd w:val="clear" w:color="auto" w:fill="FFFFFF"/>
          <w:lang w:eastAsia="zh-CN" w:bidi="ar"/>
        </w:rPr>
        <w:t>，</w:t>
      </w:r>
      <w:r>
        <w:rPr>
          <w:rFonts w:hint="eastAsia" w:ascii="仿宋_GB2312" w:hAnsi="仿宋_GB2312" w:eastAsia="仿宋_GB2312" w:cs="仿宋_GB2312"/>
          <w:bCs/>
          <w:sz w:val="32"/>
          <w:szCs w:val="32"/>
        </w:rPr>
        <w:t>疫情防控时刻“在线”、分秒必争。防控宣传不断加强，重点场所人员严格管控，全力守好了人民群众健康门。安全生产责任持续加压，排查安全隐患324处，立案处罚</w:t>
      </w:r>
      <w:r>
        <w:rPr>
          <w:rFonts w:hint="eastAsia" w:ascii="仿宋_GB2312" w:hAnsi="仿宋_GB2312" w:eastAsia="仿宋_GB2312" w:cs="仿宋_GB2312"/>
          <w:bCs/>
          <w:sz w:val="32"/>
          <w:szCs w:val="32"/>
          <w:lang w:val="en-US" w:eastAsia="zh-CN"/>
        </w:rPr>
        <w:t>14</w:t>
      </w:r>
      <w:r>
        <w:rPr>
          <w:rFonts w:hint="eastAsia" w:ascii="仿宋_GB2312" w:hAnsi="仿宋_GB2312" w:eastAsia="仿宋_GB2312" w:cs="仿宋_GB2312"/>
          <w:bCs/>
          <w:sz w:val="32"/>
          <w:szCs w:val="32"/>
        </w:rPr>
        <w:t>家、罚款</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en-US" w:eastAsia="zh-CN"/>
        </w:rPr>
        <w:t>万</w:t>
      </w:r>
      <w:r>
        <w:rPr>
          <w:rFonts w:hint="eastAsia" w:ascii="仿宋_GB2312" w:hAnsi="仿宋_GB2312" w:eastAsia="仿宋_GB2312" w:cs="仿宋_GB2312"/>
          <w:bCs/>
          <w:sz w:val="32"/>
          <w:szCs w:val="32"/>
        </w:rPr>
        <w:t>元，限期停产整改2家，整改率100％。投入资金300余万元，开展道路隐患排查与治理，</w:t>
      </w:r>
      <w:r>
        <w:rPr>
          <w:rFonts w:hint="eastAsia" w:ascii="仿宋_GB2312" w:hAnsi="仿宋_GB2312" w:eastAsia="仿宋_GB2312" w:cs="仿宋_GB2312"/>
          <w:bCs/>
          <w:sz w:val="32"/>
          <w:szCs w:val="32"/>
          <w:lang w:val="en-US" w:eastAsia="zh-CN"/>
        </w:rPr>
        <w:t>2021年</w:t>
      </w:r>
      <w:r>
        <w:rPr>
          <w:rFonts w:hint="eastAsia" w:ascii="仿宋_GB2312" w:hAnsi="仿宋_GB2312" w:eastAsia="仿宋_GB2312" w:cs="仿宋_GB2312"/>
          <w:bCs/>
          <w:sz w:val="32"/>
          <w:szCs w:val="32"/>
        </w:rPr>
        <w:t>4月份以来，未发生一起交通亡人事故。全力做好安保维稳，确保了特护期、敏感期社会稳定和谐。</w:t>
      </w:r>
      <w:r>
        <w:rPr>
          <w:rFonts w:hint="eastAsia" w:ascii="仿宋_GB2312" w:hAnsi="仿宋_GB2312" w:eastAsia="仿宋_GB2312" w:cs="仿宋_GB2312"/>
          <w:sz w:val="32"/>
          <w:szCs w:val="32"/>
          <w:lang w:val="en-US" w:eastAsia="zh-CN"/>
        </w:rPr>
        <w:t>全年特护期间没有发生到京非访行为，重点人员有效稳控。处理上级交办隐患3起。国家反电诈中心APP安装率居全市前列，云南边境接劝返3人，目前没有人员在滞留缅北。突出抓实交通安全，持续开展联合执法行动，劝导戴帽1800余人次，查扣老年代步车12台，先后投入近300万元用于改善道路交通安全设施建设，完善农村公路标示标牌，临水临涯路段安装防护栏、警示桩。排查安全隐患324处，立案处罚6家、罚款83500元，全镇社会大局安全稳定。</w:t>
      </w:r>
    </w:p>
    <w:p>
      <w:pPr>
        <w:keepNext w:val="0"/>
        <w:keepLines w:val="0"/>
        <w:pageBreakBefore w:val="0"/>
        <w:kinsoku/>
        <w:wordWrap/>
        <w:overflowPunct/>
        <w:topLinePunct w:val="0"/>
        <w:autoSpaceDN/>
        <w:bidi w:val="0"/>
        <w:spacing w:line="500" w:lineRule="atLeast"/>
        <w:ind w:firstLine="320" w:firstLineChars="100"/>
        <w:textAlignment w:val="auto"/>
        <w:rPr>
          <w:rFonts w:hint="eastAsia" w:ascii="仿宋_GB2312" w:hAnsi="仿宋_GB2312" w:eastAsia="仿宋_GB2312" w:cs="仿宋_GB2312"/>
          <w:bCs/>
          <w:sz w:val="32"/>
          <w:szCs w:val="32"/>
        </w:rPr>
      </w:pPr>
    </w:p>
    <w:p>
      <w:pPr>
        <w:pStyle w:val="3"/>
        <w:keepNext w:val="0"/>
        <w:keepLines w:val="0"/>
        <w:pageBreakBefore w:val="0"/>
        <w:kinsoku/>
        <w:wordWrap/>
        <w:overflowPunct/>
        <w:topLinePunct w:val="0"/>
        <w:autoSpaceDN/>
        <w:bidi w:val="0"/>
        <w:spacing w:line="500" w:lineRule="atLeast"/>
        <w:ind w:firstLine="210" w:firstLineChars="100"/>
        <w:textAlignment w:val="auto"/>
        <w:rPr>
          <w:rFonts w:hint="eastAsia" w:ascii="仿宋_GB2312" w:hAnsi="仿宋_GB2312" w:eastAsia="仿宋_GB2312" w:cs="仿宋_GB2312"/>
        </w:rPr>
      </w:pP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firstLine="321" w:firstLineChars="100"/>
        <w:textAlignment w:val="auto"/>
        <w:outlineLvl w:val="9"/>
        <w:rPr>
          <w:rFonts w:hint="eastAsia" w:ascii="仿宋_GB2312" w:hAnsi="仿宋_GB2312" w:eastAsia="仿宋_GB2312" w:cs="仿宋_GB2312"/>
          <w:b/>
          <w:sz w:val="32"/>
          <w:szCs w:val="32"/>
          <w:lang w:val="en-US" w:eastAsia="zh-CN"/>
        </w:rPr>
      </w:pPr>
    </w:p>
    <w:p>
      <w:pPr>
        <w:pStyle w:val="8"/>
        <w:keepNext w:val="0"/>
        <w:keepLines w:val="0"/>
        <w:pageBreakBefore w:val="0"/>
        <w:numPr>
          <w:ilvl w:val="0"/>
          <w:numId w:val="4"/>
        </w:numPr>
        <w:shd w:val="clear" w:color="auto" w:fill="FFFFFF"/>
        <w:kinsoku/>
        <w:wordWrap/>
        <w:overflowPunct/>
        <w:topLinePunct w:val="0"/>
        <w:autoSpaceDE/>
        <w:autoSpaceDN/>
        <w:bidi w:val="0"/>
        <w:adjustRightInd/>
        <w:snapToGrid w:val="0"/>
        <w:spacing w:before="0" w:beforeAutospacing="0" w:after="0" w:afterAutospacing="0" w:line="500" w:lineRule="atLeast"/>
        <w:ind w:left="0" w:leftChars="0" w:firstLine="361" w:firstLineChars="100"/>
        <w:textAlignment w:val="auto"/>
        <w:outlineLvl w:val="9"/>
        <w:rPr>
          <w:rFonts w:hint="eastAsia" w:ascii="仿宋_GB2312" w:hAnsi="仿宋_GB2312" w:eastAsia="仿宋_GB2312" w:cs="仿宋_GB2312"/>
          <w:b/>
          <w:bCs/>
          <w:color w:val="000000" w:themeColor="text1"/>
          <w:sz w:val="36"/>
          <w:szCs w:val="36"/>
          <w:lang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eastAsia="zh-CN"/>
          <w14:textFill>
            <w14:solidFill>
              <w14:schemeClr w14:val="tx1"/>
            </w14:solidFill>
          </w14:textFill>
        </w:rPr>
        <w:t>存在的主要问题</w:t>
      </w:r>
    </w:p>
    <w:p>
      <w:pPr>
        <w:pStyle w:val="8"/>
        <w:keepNext w:val="0"/>
        <w:keepLines w:val="0"/>
        <w:pageBreakBefore w:val="0"/>
        <w:numPr>
          <w:ilvl w:val="0"/>
          <w:numId w:val="5"/>
        </w:numPr>
        <w:shd w:val="clear" w:color="auto" w:fill="FFFFFF"/>
        <w:kinsoku/>
        <w:wordWrap/>
        <w:overflowPunct/>
        <w:topLinePunct w:val="0"/>
        <w:autoSpaceDE/>
        <w:autoSpaceDN/>
        <w:bidi w:val="0"/>
        <w:adjustRightInd/>
        <w:snapToGrid w:val="0"/>
        <w:spacing w:before="0" w:beforeAutospacing="0" w:after="0" w:afterAutospacing="0" w:line="500" w:lineRule="atLeast"/>
        <w:ind w:leftChars="0" w:firstLine="320" w:firstLineChars="1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绩效管理重视度有待加强，管理制度和程序有待进一步明确，以便有序执行。</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00" w:lineRule="atLeast"/>
        <w:ind w:leftChars="200" w:firstLine="320" w:firstLineChars="1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、工作机制有待进一步完善，由于对绩效评价工作的重视不够，绩效管理工作容易滞后，未形成对绩效目标进行管理的有效的工作机制。</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、单位各部门衔接不及时，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由于</w:t>
      </w:r>
      <w:r>
        <w:rPr>
          <w:rFonts w:hint="eastAsia" w:ascii="仿宋_GB2312" w:hAnsi="仿宋_GB2312" w:eastAsia="仿宋_GB2312" w:cs="仿宋_GB2312"/>
          <w:color w:val="000000" w:themeColor="text1"/>
          <w:kern w:val="0"/>
          <w:sz w:val="32"/>
          <w:szCs w:val="32"/>
          <w14:textFill>
            <w14:solidFill>
              <w14:schemeClr w14:val="tx1"/>
            </w14:solidFill>
          </w14:textFill>
        </w:rPr>
        <w:t>预算项目的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前瞻性不够</w:t>
      </w:r>
      <w:r>
        <w:rPr>
          <w:rFonts w:hint="eastAsia" w:ascii="仿宋_GB2312" w:hAnsi="仿宋_GB2312" w:eastAsia="仿宋_GB2312" w:cs="仿宋_GB2312"/>
          <w:color w:val="000000" w:themeColor="text1"/>
          <w:kern w:val="0"/>
          <w:sz w:val="32"/>
          <w:szCs w:val="32"/>
          <w14:textFill>
            <w14:solidFill>
              <w14:schemeClr w14:val="tx1"/>
            </w14:solidFill>
          </w14:textFill>
        </w:rPr>
        <w:t>和不可预计性事项的发生，无法及时监控预算绩效目标实施情况。</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、政府和财务部门在部门整体支出的资金安排和使用上仍有不可预见性，在实际工作中有资金延迟到位的情况。</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1" w:firstLineChars="100"/>
        <w:jc w:val="left"/>
        <w:textAlignment w:val="auto"/>
        <w:outlineLvl w:val="9"/>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七、改进措施和有关建议</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、建议政府在平时工作中进一步加强对绩效目标监控的重视，定期对预算执行情况进行监督，使绩效目标监控与政府工作、财务工作挂钩，做到及时监控，及时控制，避免疏忽。</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、加强各部门衔接，使预算绩效目标实施进度得到及时反馈，便于及时汇总监控。</w:t>
      </w:r>
    </w:p>
    <w:p>
      <w:pPr>
        <w:keepNext w:val="0"/>
        <w:keepLines w:val="0"/>
        <w:pageBreakBefore w:val="0"/>
        <w:widowControl/>
        <w:shd w:val="clear" w:color="auto" w:fill="FFFFFF"/>
        <w:kinsoku/>
        <w:wordWrap/>
        <w:overflowPunct/>
        <w:topLinePunct w:val="0"/>
        <w:autoSpaceDE/>
        <w:autoSpaceDN/>
        <w:bidi w:val="0"/>
        <w:adjustRightInd/>
        <w:spacing w:line="500" w:lineRule="atLeast"/>
        <w:ind w:firstLine="320" w:firstLineChars="1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设置合理有效的绩效目标监控机制，科学设置预算绩效指标，合理安排经费和各项资金，使其物尽其用，更加贴合乡镇财务工作的实际情况，能够合理运用现有资源，及时协调上级争取资金保证各预算绩效指标的顺利实施。使绩效评价更客观全面，更能为发展政府经济，保障民生起到积极有效的作用。</w:t>
      </w:r>
    </w:p>
    <w:p>
      <w:pPr>
        <w:keepNext w:val="0"/>
        <w:keepLines w:val="0"/>
        <w:pageBreakBefore w:val="0"/>
        <w:widowControl/>
        <w:shd w:val="clear" w:color="auto" w:fill="FFFFFF"/>
        <w:kinsoku/>
        <w:wordWrap/>
        <w:overflowPunct/>
        <w:topLinePunct w:val="0"/>
        <w:autoSpaceDE/>
        <w:autoSpaceDN/>
        <w:bidi w:val="0"/>
        <w:adjustRightInd/>
        <w:spacing w:before="204" w:line="240" w:lineRule="auto"/>
        <w:ind w:firstLine="480"/>
        <w:jc w:val="left"/>
        <w:textAlignment w:val="auto"/>
        <w:outlineLvl w:val="9"/>
        <w:rPr>
          <w:rFonts w:ascii="宋体" w:hAnsi="宋体" w:eastAsia="宋体" w:cs="宋体"/>
          <w:color w:val="333333"/>
          <w:kern w:val="0"/>
          <w:sz w:val="32"/>
          <w:szCs w:val="32"/>
        </w:rPr>
      </w:pPr>
    </w:p>
    <w:p>
      <w:pPr>
        <w:pStyle w:val="8"/>
        <w:spacing w:before="0" w:beforeAutospacing="0" w:after="0" w:afterAutospacing="0" w:line="560" w:lineRule="exact"/>
        <w:ind w:firstLine="643" w:firstLineChars="200"/>
        <w:textAlignment w:val="center"/>
        <w:rPr>
          <w:rFonts w:ascii="黑体" w:hAnsi="黑体" w:eastAsia="黑体"/>
          <w:b/>
          <w:color w:val="333333"/>
          <w:sz w:val="32"/>
          <w:szCs w:val="32"/>
        </w:rPr>
      </w:pPr>
    </w:p>
    <w:p>
      <w:pPr>
        <w:pStyle w:val="8"/>
        <w:shd w:val="clear" w:color="auto" w:fill="FFFFFF"/>
        <w:snapToGrid w:val="0"/>
        <w:spacing w:before="0" w:beforeAutospacing="0" w:after="0" w:afterAutospacing="0" w:line="480" w:lineRule="auto"/>
        <w:rPr>
          <w:rFonts w:hint="eastAsia" w:asciiTheme="minorEastAsia" w:hAnsiTheme="minorEastAsia" w:cstheme="minorEastAsia"/>
          <w:color w:val="333333"/>
          <w:sz w:val="28"/>
          <w:szCs w:val="28"/>
          <w:lang w:val="en-US" w:eastAsia="zh-CN"/>
        </w:rPr>
      </w:pPr>
    </w:p>
    <w:p>
      <w:pPr>
        <w:numPr>
          <w:ilvl w:val="0"/>
          <w:numId w:val="0"/>
        </w:numPr>
        <w:rPr>
          <w:rFonts w:hint="eastAsia"/>
          <w:lang w:val="en-US" w:eastAsia="zh-CN"/>
        </w:rPr>
      </w:pPr>
    </w:p>
    <w:p>
      <w:pPr>
        <w:numPr>
          <w:ilvl w:val="0"/>
          <w:numId w:val="0"/>
        </w:num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63A7A"/>
    <w:multiLevelType w:val="singleLevel"/>
    <w:tmpl w:val="C0763A7A"/>
    <w:lvl w:ilvl="0" w:tentative="0">
      <w:start w:val="4"/>
      <w:numFmt w:val="chineseCounting"/>
      <w:suff w:val="nothing"/>
      <w:lvlText w:val="%1、"/>
      <w:lvlJc w:val="left"/>
      <w:rPr>
        <w:rFonts w:hint="eastAsia"/>
      </w:rPr>
    </w:lvl>
  </w:abstractNum>
  <w:abstractNum w:abstractNumId="1">
    <w:nsid w:val="ED847E5A"/>
    <w:multiLevelType w:val="singleLevel"/>
    <w:tmpl w:val="ED847E5A"/>
    <w:lvl w:ilvl="0" w:tentative="0">
      <w:start w:val="1"/>
      <w:numFmt w:val="chineseCounting"/>
      <w:suff w:val="nothing"/>
      <w:lvlText w:val="（%1）"/>
      <w:lvlJc w:val="left"/>
      <w:rPr>
        <w:rFonts w:hint="eastAsia"/>
      </w:rPr>
    </w:lvl>
  </w:abstractNum>
  <w:abstractNum w:abstractNumId="2">
    <w:nsid w:val="F9DA29D9"/>
    <w:multiLevelType w:val="singleLevel"/>
    <w:tmpl w:val="F9DA29D9"/>
    <w:lvl w:ilvl="0" w:tentative="0">
      <w:start w:val="1"/>
      <w:numFmt w:val="decimal"/>
      <w:suff w:val="nothing"/>
      <w:lvlText w:val="%1、"/>
      <w:lvlJc w:val="left"/>
    </w:lvl>
  </w:abstractNum>
  <w:abstractNum w:abstractNumId="3">
    <w:nsid w:val="2C1A5A2F"/>
    <w:multiLevelType w:val="singleLevel"/>
    <w:tmpl w:val="2C1A5A2F"/>
    <w:lvl w:ilvl="0" w:tentative="0">
      <w:start w:val="1"/>
      <w:numFmt w:val="chineseCounting"/>
      <w:suff w:val="nothing"/>
      <w:lvlText w:val="%1、"/>
      <w:lvlJc w:val="left"/>
      <w:rPr>
        <w:rFonts w:hint="eastAsia"/>
      </w:rPr>
    </w:lvl>
  </w:abstractNum>
  <w:abstractNum w:abstractNumId="4">
    <w:nsid w:val="7D6D6552"/>
    <w:multiLevelType w:val="singleLevel"/>
    <w:tmpl w:val="7D6D6552"/>
    <w:lvl w:ilvl="0" w:tentative="0">
      <w:start w:val="1"/>
      <w:numFmt w:val="decimal"/>
      <w:suff w:val="nothing"/>
      <w:lvlText w:val="（%1）"/>
      <w:lvlJc w:val="left"/>
      <w:pPr>
        <w:ind w:left="420" w:leftChars="0" w:firstLine="0" w:firstLineChars="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16E1E"/>
    <w:rsid w:val="1C1F1C93"/>
    <w:rsid w:val="3092497B"/>
    <w:rsid w:val="39101677"/>
    <w:rsid w:val="52413B77"/>
    <w:rsid w:val="550A0083"/>
    <w:rsid w:val="589A09E4"/>
    <w:rsid w:val="5B916E1E"/>
    <w:rsid w:val="671B0CC5"/>
    <w:rsid w:val="6D535020"/>
    <w:rsid w:val="7CA8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before="100" w:beforeAutospacing="1" w:after="120"/>
      <w:textAlignment w:val="baseline"/>
    </w:pPr>
  </w:style>
  <w:style w:type="paragraph" w:styleId="3">
    <w:name w:val="Normal Indent"/>
    <w:basedOn w:val="1"/>
    <w:qFormat/>
    <w:uiPriority w:val="0"/>
    <w:pPr>
      <w:ind w:firstLine="420"/>
    </w:pPr>
    <w:rPr>
      <w:rFonts w:ascii="Calibri" w:hAnsi="Calibri" w:eastAsia="宋体" w:cs="Times New Roman"/>
      <w:szCs w:val="24"/>
    </w:rPr>
  </w:style>
  <w:style w:type="paragraph" w:styleId="4">
    <w:name w:val="Body Text"/>
    <w:basedOn w:val="1"/>
    <w:next w:val="5"/>
    <w:qFormat/>
    <w:uiPriority w:val="99"/>
    <w:pPr>
      <w:spacing w:after="120"/>
    </w:pPr>
  </w:style>
  <w:style w:type="paragraph" w:styleId="5">
    <w:name w:val="toc 5"/>
    <w:basedOn w:val="1"/>
    <w:next w:val="1"/>
    <w:semiHidden/>
    <w:qFormat/>
    <w:uiPriority w:val="0"/>
    <w:pPr>
      <w:ind w:left="1680" w:leftChars="8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2021-03-30T02:28:00Z</dcterms:created>
  <dc:creator>杨立霞</dc:creator>
  <cp:lastModifiedBy>杨立霞</cp:lastModifiedBy>
  <cp:lastPrinted>2011-10-23T05:04:00Z</cp:lastPrinted>
  <dcterms:modified xsi:type="dcterms:W3CDTF">2011-10-27T10:49:00Z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