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rFonts w:ascii="Times New Roman" w:hAnsi="Times New Roman" w:eastAsia="方正小标宋简体" w:cs="Times New Roman"/>
          <w:color w:val="000000"/>
          <w:sz w:val="36"/>
          <w:szCs w:val="44"/>
        </w:rPr>
      </w:pPr>
      <w:r>
        <w:rPr>
          <w:rFonts w:hint="eastAsia" w:ascii="Times New Roman" w:hAnsi="Times New Roman" w:eastAsia="方正小标宋简体" w:cs="Times New Roman"/>
          <w:color w:val="000000"/>
          <w:sz w:val="36"/>
          <w:szCs w:val="44"/>
        </w:rPr>
        <w:t>2021</w:t>
      </w:r>
      <w:r>
        <w:rPr>
          <w:rFonts w:hint="eastAsia" w:ascii="微软雅黑" w:hAnsi="微软雅黑" w:eastAsia="微软雅黑" w:cs="微软雅黑"/>
          <w:color w:val="000000"/>
          <w:sz w:val="36"/>
          <w:szCs w:val="44"/>
        </w:rPr>
        <w:t>年度流沙河镇部门整体支出绩效自评报告</w:t>
      </w:r>
    </w:p>
    <w:p>
      <w:pPr>
        <w:spacing w:line="600" w:lineRule="exact"/>
        <w:jc w:val="center"/>
        <w:rPr>
          <w:rFonts w:eastAsia="仿宋_GB2312"/>
          <w:sz w:val="32"/>
          <w:szCs w:val="32"/>
        </w:rPr>
      </w:pPr>
    </w:p>
    <w:p>
      <w:pPr>
        <w:pStyle w:val="8"/>
        <w:numPr>
          <w:ilvl w:val="0"/>
          <w:numId w:val="1"/>
        </w:numPr>
        <w:spacing w:line="600" w:lineRule="exact"/>
        <w:ind w:firstLineChars="0"/>
        <w:rPr>
          <w:rFonts w:eastAsia="黑体"/>
          <w:sz w:val="30"/>
        </w:rPr>
      </w:pPr>
      <w:r>
        <w:rPr>
          <w:rFonts w:eastAsia="黑体"/>
          <w:sz w:val="30"/>
        </w:rPr>
        <w:t>单位基本情况</w:t>
      </w:r>
    </w:p>
    <w:p>
      <w:pPr>
        <w:spacing w:line="600" w:lineRule="exact"/>
        <w:ind w:firstLine="600" w:firstLineChars="200"/>
        <w:rPr>
          <w:rFonts w:hint="eastAsia" w:eastAsia="黑体"/>
          <w:sz w:val="30"/>
        </w:rPr>
      </w:pPr>
      <w:r>
        <w:rPr>
          <w:rFonts w:hint="eastAsia" w:ascii="Times New Roman" w:hAnsi="Times New Roman" w:eastAsia="仿宋_GB2312" w:cs="Times New Roman"/>
          <w:sz w:val="30"/>
        </w:rPr>
        <w:t>流</w:t>
      </w:r>
      <w:r>
        <w:rPr>
          <w:rFonts w:ascii="Times New Roman" w:hAnsi="Times New Roman" w:eastAsia="仿宋_GB2312" w:cs="Times New Roman"/>
          <w:sz w:val="30"/>
        </w:rPr>
        <w:t>沙河镇位于</w:t>
      </w:r>
      <w:r>
        <w:rPr>
          <w:rFonts w:hint="eastAsia" w:ascii="Times New Roman" w:hAnsi="Times New Roman" w:eastAsia="仿宋_GB2312" w:cs="Times New Roman"/>
          <w:sz w:val="30"/>
        </w:rPr>
        <w:t>宁乡市西南部，南接湘乡市，西靠</w:t>
      </w:r>
      <w:r>
        <w:rPr>
          <w:rFonts w:ascii="Times New Roman" w:hAnsi="Times New Roman" w:eastAsia="仿宋_GB2312" w:cs="Times New Roman"/>
          <w:sz w:val="30"/>
        </w:rPr>
        <w:t>娄</w:t>
      </w:r>
      <w:r>
        <w:rPr>
          <w:rFonts w:hint="eastAsia" w:ascii="Times New Roman" w:hAnsi="Times New Roman" w:eastAsia="仿宋_GB2312" w:cs="Times New Roman"/>
          <w:sz w:val="30"/>
        </w:rPr>
        <w:t>底</w:t>
      </w:r>
      <w:r>
        <w:rPr>
          <w:rFonts w:ascii="Times New Roman" w:hAnsi="Times New Roman" w:eastAsia="仿宋_GB2312" w:cs="Times New Roman"/>
          <w:sz w:val="30"/>
        </w:rPr>
        <w:t>市</w:t>
      </w:r>
      <w:r>
        <w:rPr>
          <w:rFonts w:hint="eastAsia" w:ascii="Times New Roman" w:hAnsi="Times New Roman" w:eastAsia="仿宋_GB2312" w:cs="Times New Roman"/>
          <w:sz w:val="30"/>
        </w:rPr>
        <w:t>，距宁乡市城区68公里，镇域总面积140.56平方千米。截至</w:t>
      </w:r>
      <w:r>
        <w:rPr>
          <w:rFonts w:ascii="Times New Roman" w:hAnsi="Times New Roman" w:eastAsia="仿宋_GB2312" w:cs="Times New Roman"/>
          <w:sz w:val="30"/>
        </w:rPr>
        <w:t>2021</w:t>
      </w:r>
      <w:r>
        <w:rPr>
          <w:rFonts w:hint="eastAsia" w:ascii="Times New Roman" w:hAnsi="Times New Roman" w:eastAsia="仿宋_GB2312" w:cs="Times New Roman"/>
          <w:sz w:val="30"/>
        </w:rPr>
        <w:t>年末流沙河镇户籍人口为7</w:t>
      </w:r>
      <w:r>
        <w:rPr>
          <w:rFonts w:ascii="Times New Roman" w:hAnsi="Times New Roman" w:eastAsia="仿宋_GB2312" w:cs="Times New Roman"/>
          <w:sz w:val="30"/>
        </w:rPr>
        <w:t>0530</w:t>
      </w:r>
      <w:r>
        <w:rPr>
          <w:rFonts w:hint="eastAsia" w:ascii="Times New Roman" w:hAnsi="Times New Roman" w:eastAsia="仿宋_GB2312" w:cs="Times New Roman"/>
          <w:sz w:val="30"/>
        </w:rPr>
        <w:t>人，</w:t>
      </w:r>
      <w:r>
        <w:rPr>
          <w:rFonts w:ascii="Times New Roman" w:hAnsi="Times New Roman" w:eastAsia="仿宋_GB2312" w:cs="Times New Roman"/>
          <w:sz w:val="30"/>
        </w:rPr>
        <w:t>辖</w:t>
      </w:r>
      <w:r>
        <w:rPr>
          <w:rFonts w:hint="eastAsia" w:ascii="Times New Roman" w:hAnsi="Times New Roman" w:eastAsia="仿宋_GB2312" w:cs="Times New Roman"/>
          <w:sz w:val="30"/>
        </w:rPr>
        <w:t>村11个</w:t>
      </w:r>
      <w:r>
        <w:rPr>
          <w:rFonts w:ascii="Times New Roman" w:hAnsi="Times New Roman" w:eastAsia="仿宋_GB2312" w:cs="Times New Roman"/>
          <w:sz w:val="30"/>
        </w:rPr>
        <w:t>，</w:t>
      </w:r>
      <w:r>
        <w:rPr>
          <w:rFonts w:hint="eastAsia" w:ascii="Times New Roman" w:hAnsi="Times New Roman" w:eastAsia="仿宋_GB2312" w:cs="Times New Roman"/>
          <w:sz w:val="30"/>
        </w:rPr>
        <w:t>社</w:t>
      </w:r>
      <w:r>
        <w:rPr>
          <w:rFonts w:ascii="Times New Roman" w:hAnsi="Times New Roman" w:eastAsia="仿宋_GB2312" w:cs="Times New Roman"/>
          <w:sz w:val="30"/>
        </w:rPr>
        <w:t>区</w:t>
      </w:r>
      <w:r>
        <w:rPr>
          <w:rFonts w:hint="eastAsia" w:ascii="Times New Roman" w:hAnsi="Times New Roman" w:eastAsia="仿宋_GB2312" w:cs="Times New Roman"/>
          <w:sz w:val="30"/>
        </w:rPr>
        <w:t>2个，</w:t>
      </w:r>
      <w:r>
        <w:rPr>
          <w:rFonts w:ascii="Times New Roman" w:hAnsi="Times New Roman" w:eastAsia="仿宋_GB2312" w:cs="Times New Roman"/>
          <w:sz w:val="30"/>
        </w:rPr>
        <w:t>93个居民小组，现有村（社区）干部81人。工作机构分设机关、一所三中心及一队，即</w:t>
      </w:r>
      <w:r>
        <w:rPr>
          <w:rFonts w:hint="eastAsia" w:ascii="Times New Roman" w:hAnsi="Times New Roman" w:eastAsia="仿宋_GB2312" w:cs="Times New Roman"/>
          <w:sz w:val="30"/>
        </w:rPr>
        <w:t>机关</w:t>
      </w:r>
      <w:r>
        <w:rPr>
          <w:rFonts w:ascii="Times New Roman" w:hAnsi="Times New Roman" w:eastAsia="仿宋_GB2312" w:cs="Times New Roman"/>
          <w:sz w:val="30"/>
        </w:rPr>
        <w:t>、司法所、社会事务综合服务中心、农业综合服务中心、政务服务中心、综合行政执法队。财政供养实有在职</w:t>
      </w:r>
      <w:r>
        <w:rPr>
          <w:rFonts w:hint="eastAsia" w:ascii="Times New Roman" w:hAnsi="Times New Roman" w:eastAsia="仿宋_GB2312" w:cs="Times New Roman"/>
          <w:sz w:val="30"/>
        </w:rPr>
        <w:t>125</w:t>
      </w:r>
      <w:r>
        <w:rPr>
          <w:rFonts w:ascii="Times New Roman" w:hAnsi="Times New Roman" w:eastAsia="仿宋_GB2312" w:cs="Times New Roman"/>
          <w:sz w:val="30"/>
        </w:rPr>
        <w:t>人，其中：行政人员</w:t>
      </w:r>
      <w:r>
        <w:rPr>
          <w:rFonts w:hint="eastAsia" w:ascii="Times New Roman" w:hAnsi="Times New Roman" w:eastAsia="仿宋_GB2312" w:cs="Times New Roman"/>
          <w:sz w:val="30"/>
        </w:rPr>
        <w:t>42</w:t>
      </w:r>
      <w:r>
        <w:rPr>
          <w:rFonts w:ascii="Times New Roman" w:hAnsi="Times New Roman" w:eastAsia="仿宋_GB2312" w:cs="Times New Roman"/>
          <w:sz w:val="30"/>
        </w:rPr>
        <w:t>人（工勤人员算行政）、全额事业人员45人、差额事业人员38人。</w:t>
      </w:r>
      <w:r>
        <w:rPr>
          <w:rFonts w:hint="eastAsia" w:ascii="Times New Roman" w:hAnsi="Times New Roman" w:eastAsia="仿宋_GB2312" w:cs="Times New Roman"/>
          <w:sz w:val="30"/>
        </w:rPr>
        <w:t>离休1人，</w:t>
      </w:r>
      <w:r>
        <w:rPr>
          <w:rFonts w:ascii="Times New Roman" w:hAnsi="Times New Roman" w:eastAsia="仿宋_GB2312" w:cs="Times New Roman"/>
          <w:sz w:val="30"/>
        </w:rPr>
        <w:t>退休79人。镇</w:t>
      </w:r>
      <w:r>
        <w:rPr>
          <w:rFonts w:hint="eastAsia" w:ascii="Times New Roman" w:hAnsi="Times New Roman" w:eastAsia="仿宋_GB2312" w:cs="Times New Roman"/>
          <w:sz w:val="30"/>
        </w:rPr>
        <w:t>202</w:t>
      </w:r>
      <w:r>
        <w:rPr>
          <w:rFonts w:ascii="Times New Roman" w:hAnsi="Times New Roman" w:eastAsia="仿宋_GB2312" w:cs="Times New Roman"/>
          <w:sz w:val="30"/>
        </w:rPr>
        <w:t>1</w:t>
      </w:r>
      <w:r>
        <w:rPr>
          <w:rFonts w:hint="eastAsia" w:ascii="Times New Roman" w:hAnsi="Times New Roman" w:eastAsia="仿宋_GB2312" w:cs="Times New Roman"/>
          <w:sz w:val="30"/>
        </w:rPr>
        <w:t>年财政总支</w:t>
      </w:r>
      <w:r>
        <w:rPr>
          <w:rFonts w:ascii="Times New Roman" w:hAnsi="Times New Roman" w:eastAsia="仿宋_GB2312" w:cs="Times New Roman"/>
          <w:sz w:val="30"/>
        </w:rPr>
        <w:t>出为10156.53</w:t>
      </w:r>
      <w:r>
        <w:rPr>
          <w:rFonts w:hint="eastAsia" w:ascii="Times New Roman" w:hAnsi="Times New Roman" w:eastAsia="仿宋_GB2312" w:cs="Times New Roman"/>
          <w:sz w:val="30"/>
        </w:rPr>
        <w:t>万</w:t>
      </w:r>
      <w:r>
        <w:rPr>
          <w:rFonts w:ascii="Times New Roman" w:hAnsi="Times New Roman" w:eastAsia="仿宋_GB2312" w:cs="Times New Roman"/>
          <w:sz w:val="30"/>
        </w:rPr>
        <w:t>元</w:t>
      </w:r>
      <w:r>
        <w:rPr>
          <w:rFonts w:hint="eastAsia" w:ascii="Times New Roman" w:hAnsi="Times New Roman" w:eastAsia="仿宋_GB2312" w:cs="Times New Roman"/>
          <w:sz w:val="30"/>
        </w:rPr>
        <w:t>。</w:t>
      </w:r>
    </w:p>
    <w:p>
      <w:pPr>
        <w:pStyle w:val="8"/>
        <w:numPr>
          <w:ilvl w:val="0"/>
          <w:numId w:val="1"/>
        </w:numPr>
        <w:spacing w:line="600" w:lineRule="exact"/>
        <w:ind w:firstLineChars="0"/>
        <w:rPr>
          <w:rFonts w:eastAsia="黑体"/>
          <w:sz w:val="30"/>
        </w:rPr>
      </w:pPr>
      <w:r>
        <w:rPr>
          <w:rFonts w:eastAsia="黑体"/>
          <w:sz w:val="30"/>
        </w:rPr>
        <w:t>单位预算管理及执行情况</w:t>
      </w:r>
    </w:p>
    <w:p>
      <w:pPr>
        <w:spacing w:line="600" w:lineRule="exact"/>
        <w:ind w:firstLine="600" w:firstLineChars="200"/>
        <w:rPr>
          <w:rFonts w:ascii="Times New Roman" w:hAnsi="Times New Roman" w:eastAsia="仿宋_GB2312" w:cs="Times New Roman"/>
          <w:sz w:val="30"/>
        </w:rPr>
      </w:pPr>
      <w:r>
        <w:rPr>
          <w:rFonts w:ascii="Times New Roman" w:hAnsi="Times New Roman" w:eastAsia="仿宋_GB2312" w:cs="Times New Roman"/>
          <w:sz w:val="30"/>
        </w:rPr>
        <w:t>2021年一般公共预算拨款收入10156.53万元，具体安排情况如下：</w:t>
      </w:r>
    </w:p>
    <w:p>
      <w:pPr>
        <w:spacing w:line="60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1、</w:t>
      </w:r>
      <w:r>
        <w:rPr>
          <w:rFonts w:ascii="Times New Roman" w:hAnsi="Times New Roman" w:eastAsia="仿宋_GB2312" w:cs="Times New Roman"/>
          <w:sz w:val="30"/>
        </w:rPr>
        <w:t>基本支出：是指为保障单位机构正常运转、完成日</w:t>
      </w:r>
      <w:r>
        <w:rPr>
          <w:rFonts w:hint="eastAsia" w:ascii="Times New Roman" w:hAnsi="Times New Roman" w:eastAsia="仿宋_GB2312" w:cs="Times New Roman"/>
          <w:sz w:val="30"/>
        </w:rPr>
        <w:t>常工作任务而发生的各项支出，包括用于基本工资、津贴补贴等人员经费以及办公费、印刷费、水电费、办公设备购置等日常公用经费。</w:t>
      </w:r>
      <w:r>
        <w:rPr>
          <w:rFonts w:ascii="Times New Roman" w:hAnsi="Times New Roman" w:eastAsia="仿宋_GB2312" w:cs="Times New Roman"/>
          <w:sz w:val="30"/>
        </w:rPr>
        <w:t xml:space="preserve">2021年初年预算数基本支出2446.93万元，其中，工资福利支出2056.77万元；商品和服务支出153.9万元；对个人和家庭的补助236.26万元；其他资本性支出0万元。 </w:t>
      </w:r>
    </w:p>
    <w:p>
      <w:pPr>
        <w:spacing w:line="60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2、</w:t>
      </w:r>
      <w:r>
        <w:rPr>
          <w:rFonts w:ascii="Times New Roman" w:hAnsi="Times New Roman" w:eastAsia="仿宋_GB2312" w:cs="Times New Roman"/>
          <w:sz w:val="30"/>
        </w:rPr>
        <w:t>项目支出：是指乡镇各部门为履行工作职能，完成工作任务，需要发生的经常事务性的项目支出和完成特定工作任务或事业发展目标而发生的项目支出（包括通过发改部门立项安排的项目支出）。其中一般事务性项目支出236万元，主</w:t>
      </w:r>
      <w:r>
        <w:rPr>
          <w:rFonts w:hint="eastAsia" w:ascii="Times New Roman" w:hAnsi="Times New Roman" w:eastAsia="仿宋_GB2312" w:cs="Times New Roman"/>
          <w:sz w:val="30"/>
        </w:rPr>
        <w:t>要是人大会议</w:t>
      </w:r>
      <w:r>
        <w:rPr>
          <w:rFonts w:ascii="Times New Roman" w:hAnsi="Times New Roman" w:eastAsia="仿宋_GB2312" w:cs="Times New Roman"/>
          <w:sz w:val="30"/>
        </w:rPr>
        <w:t>4万元；人大代表5万元；政府办及相关机构事务一般行政管理事务210万元；专项普查活动5万元；财政事务一般行政管理事务5万元；其他财政事务支出5万元；军队转业干部安置2万元。公共安全支出2万元，主要是一般行政管理事务2万元。教育支出260万元，主要用于学校建设260万元。文化体育与传媒支出67万元，主要用于其他文化支出10万元；文物保护42万元；广播10万元；其他文化体育与传媒支出5万元。社会保障和就业464万元，主要用于综合业务管理10万元；拥军优属2万元；基层政府和社区建设10万元；死亡抚恤50万元；殡葬6万元；其他残疾人事业支出6万元；其他自然灾害救助支出300万元；临时救助80万元。卫生健康支出84万元，主要用于计划生育服务74万元；食品安全事务5万元；其他食品和药品监督管理事务支出5万元。节能环保支出280.5万元，主要用于蓝天保卫战支出。城乡社区支出635万元，主要用于城管执法20万元；棚户区改造300万元；小城镇基础设施建设35万元；其他城乡社区支出300万元。农林水事务支出5555.1万元，主要用于公路建设2000万元；水利建设1650万元；防汛救灾550万元；精准扶贫400万元；病</w:t>
      </w:r>
      <w:r>
        <w:rPr>
          <w:rFonts w:hint="eastAsia" w:ascii="Times New Roman" w:hAnsi="Times New Roman" w:eastAsia="仿宋_GB2312" w:cs="Times New Roman"/>
          <w:sz w:val="30"/>
        </w:rPr>
        <w:t>虫害控制</w:t>
      </w:r>
      <w:r>
        <w:rPr>
          <w:rFonts w:ascii="Times New Roman" w:hAnsi="Times New Roman" w:eastAsia="仿宋_GB2312" w:cs="Times New Roman"/>
          <w:sz w:val="30"/>
        </w:rPr>
        <w:t>270万元；农业结构调整补贴100万元；农村公益事业745.1万元其他林业支出10万元；对村民委员会和村党支部的补助260万元；灾害防治及应急管理支出110万元。   </w:t>
      </w:r>
    </w:p>
    <w:p>
      <w:pPr>
        <w:spacing w:line="600" w:lineRule="exact"/>
        <w:ind w:firstLine="600" w:firstLineChars="200"/>
        <w:rPr>
          <w:rFonts w:ascii="Times New Roman" w:hAnsi="Times New Roman" w:eastAsia="仿宋_GB2312" w:cs="Times New Roman"/>
          <w:sz w:val="30"/>
        </w:rPr>
      </w:pPr>
      <w:r>
        <w:rPr>
          <w:rFonts w:ascii="Times New Roman" w:hAnsi="Times New Roman" w:eastAsia="仿宋_GB2312" w:cs="Times New Roman"/>
          <w:sz w:val="30"/>
        </w:rPr>
        <w:t>3、机关运行经费</w:t>
      </w:r>
      <w:r>
        <w:rPr>
          <w:rFonts w:hint="eastAsia" w:ascii="Times New Roman" w:hAnsi="Times New Roman" w:eastAsia="仿宋_GB2312" w:cs="Times New Roman"/>
          <w:sz w:val="30"/>
        </w:rPr>
        <w:t>，</w:t>
      </w:r>
      <w:r>
        <w:rPr>
          <w:rFonts w:ascii="Times New Roman" w:hAnsi="Times New Roman" w:eastAsia="仿宋_GB2312" w:cs="Times New Roman"/>
          <w:sz w:val="30"/>
        </w:rPr>
        <w:t xml:space="preserve">2021年本级机关运行经费一般公共预算拨款153.9万元，主要包括办公费、印刷费、咨询费、会议费、培训费、接待费、其他商品和服务支出等，比去年增加40.53万元，增加35.75％，主要是其他交通费用增加41.21万元，今年事业编制人员的交通补贴要求录入系统；公务接待减少3.27万元；其他商品服务支出增加0.51万元。  </w:t>
      </w:r>
    </w:p>
    <w:p>
      <w:pPr>
        <w:spacing w:line="600" w:lineRule="exact"/>
        <w:ind w:firstLine="600" w:firstLineChars="200"/>
        <w:rPr>
          <w:rFonts w:ascii="Times New Roman" w:hAnsi="Times New Roman" w:eastAsia="仿宋_GB2312" w:cs="Times New Roman"/>
          <w:sz w:val="30"/>
        </w:rPr>
      </w:pPr>
      <w:r>
        <w:rPr>
          <w:rFonts w:ascii="Times New Roman" w:hAnsi="Times New Roman" w:eastAsia="仿宋_GB2312" w:cs="Times New Roman"/>
          <w:sz w:val="30"/>
        </w:rPr>
        <w:t xml:space="preserve">4、“三公”经费预算 </w:t>
      </w:r>
      <w:r>
        <w:rPr>
          <w:rFonts w:hint="eastAsia" w:ascii="Times New Roman" w:hAnsi="Times New Roman" w:eastAsia="仿宋_GB2312" w:cs="Times New Roman"/>
          <w:sz w:val="30"/>
        </w:rPr>
        <w:t>，</w:t>
      </w:r>
      <w:r>
        <w:rPr>
          <w:rFonts w:ascii="Times New Roman" w:hAnsi="Times New Roman" w:eastAsia="仿宋_GB2312" w:cs="Times New Roman"/>
          <w:sz w:val="30"/>
        </w:rPr>
        <w:t>2021年“三公”经费预算数为14.97万元，其中，公务接待费6.97万元，公务用车购置及运行费8万元（其中，公务用车购置费0万元，公务用车运</w:t>
      </w:r>
      <w:r>
        <w:rPr>
          <w:rFonts w:hint="eastAsia" w:ascii="Times New Roman" w:hAnsi="Times New Roman" w:eastAsia="仿宋_GB2312" w:cs="Times New Roman"/>
          <w:sz w:val="30"/>
        </w:rPr>
        <w:t>行费</w:t>
      </w:r>
      <w:r>
        <w:rPr>
          <w:rFonts w:ascii="Times New Roman" w:hAnsi="Times New Roman" w:eastAsia="仿宋_GB2312" w:cs="Times New Roman"/>
          <w:sz w:val="30"/>
        </w:rPr>
        <w:t xml:space="preserve">8万元），因公出国（境）费0万元。2021年“三  公”经费预算较2020年减少3.27万元，主要是公务接待费减少3.27万元。 </w:t>
      </w:r>
    </w:p>
    <w:p>
      <w:pPr>
        <w:pStyle w:val="8"/>
        <w:numPr>
          <w:ilvl w:val="0"/>
          <w:numId w:val="1"/>
        </w:numPr>
        <w:spacing w:line="600" w:lineRule="exact"/>
        <w:ind w:firstLineChars="0"/>
        <w:rPr>
          <w:rFonts w:eastAsia="黑体"/>
          <w:sz w:val="30"/>
        </w:rPr>
      </w:pPr>
      <w:r>
        <w:rPr>
          <w:rFonts w:eastAsia="黑体"/>
          <w:sz w:val="30"/>
        </w:rPr>
        <w:t>单位整体支出绩效目标及开展情况</w:t>
      </w:r>
    </w:p>
    <w:p>
      <w:pPr>
        <w:spacing w:line="60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单位整体</w:t>
      </w:r>
      <w:r>
        <w:rPr>
          <w:rFonts w:ascii="Times New Roman" w:hAnsi="Times New Roman" w:eastAsia="仿宋_GB2312" w:cs="Times New Roman"/>
          <w:sz w:val="30"/>
        </w:rPr>
        <w:t>项目支出绩效管理情况</w:t>
      </w:r>
      <w:r>
        <w:rPr>
          <w:rFonts w:hint="eastAsia" w:ascii="Times New Roman" w:hAnsi="Times New Roman" w:eastAsia="仿宋_GB2312" w:cs="Times New Roman"/>
          <w:sz w:val="30"/>
        </w:rPr>
        <w:t>，</w:t>
      </w:r>
      <w:r>
        <w:rPr>
          <w:rFonts w:ascii="Times New Roman" w:hAnsi="Times New Roman" w:eastAsia="仿宋_GB2312" w:cs="Times New Roman"/>
          <w:sz w:val="30"/>
        </w:rPr>
        <w:t>按照市本级预算绩效管理工作的总体要求，2021年整体支出10156.53万元，全部实行整体支出绩效目标管理，编报绩效目标的项目14个，涉及项目支出7709.6万元：</w:t>
      </w:r>
      <w:r>
        <w:rPr>
          <w:rFonts w:hint="eastAsia" w:ascii="Times New Roman" w:hAnsi="Times New Roman" w:eastAsia="仿宋_GB2312" w:cs="Times New Roman"/>
          <w:sz w:val="30"/>
        </w:rPr>
        <w:t>1、四联五到位网格化管理和法治乡村建设</w:t>
      </w:r>
      <w:r>
        <w:rPr>
          <w:rFonts w:ascii="Times New Roman" w:hAnsi="Times New Roman" w:eastAsia="仿宋_GB2312" w:cs="Times New Roman"/>
          <w:sz w:val="30"/>
        </w:rPr>
        <w:t>236</w:t>
      </w:r>
      <w:r>
        <w:rPr>
          <w:rFonts w:hint="eastAsia" w:ascii="Times New Roman" w:hAnsi="Times New Roman" w:eastAsia="仿宋_GB2312" w:cs="Times New Roman"/>
          <w:sz w:val="30"/>
        </w:rPr>
        <w:t>万；</w:t>
      </w:r>
      <w:r>
        <w:rPr>
          <w:rFonts w:ascii="Times New Roman" w:hAnsi="Times New Roman" w:eastAsia="仿宋_GB2312" w:cs="Times New Roman"/>
          <w:sz w:val="30"/>
        </w:rPr>
        <w:t>2</w:t>
      </w:r>
      <w:r>
        <w:rPr>
          <w:rFonts w:hint="eastAsia" w:ascii="Times New Roman" w:hAnsi="Times New Roman" w:eastAsia="仿宋_GB2312" w:cs="Times New Roman"/>
          <w:sz w:val="30"/>
        </w:rPr>
        <w:t>、兵役征集</w:t>
      </w:r>
      <w:r>
        <w:rPr>
          <w:rFonts w:ascii="Times New Roman" w:hAnsi="Times New Roman" w:eastAsia="仿宋_GB2312" w:cs="Times New Roman"/>
          <w:sz w:val="30"/>
        </w:rPr>
        <w:t>16</w:t>
      </w:r>
      <w:r>
        <w:rPr>
          <w:rFonts w:hint="eastAsia" w:ascii="Times New Roman" w:hAnsi="Times New Roman" w:eastAsia="仿宋_GB2312" w:cs="Times New Roman"/>
          <w:sz w:val="30"/>
        </w:rPr>
        <w:t>万；3、法治乡镇建设2万；4、落实校舍、学生运动场地的建设</w:t>
      </w:r>
      <w:r>
        <w:rPr>
          <w:rFonts w:ascii="Times New Roman" w:hAnsi="Times New Roman" w:eastAsia="仿宋_GB2312" w:cs="Times New Roman"/>
          <w:sz w:val="30"/>
        </w:rPr>
        <w:t>260</w:t>
      </w:r>
      <w:r>
        <w:rPr>
          <w:rFonts w:hint="eastAsia" w:ascii="Times New Roman" w:hAnsi="Times New Roman" w:eastAsia="仿宋_GB2312" w:cs="Times New Roman"/>
          <w:sz w:val="30"/>
        </w:rPr>
        <w:t>万；</w:t>
      </w:r>
      <w:r>
        <w:rPr>
          <w:rFonts w:ascii="Times New Roman" w:hAnsi="Times New Roman" w:eastAsia="仿宋_GB2312" w:cs="Times New Roman"/>
          <w:sz w:val="30"/>
        </w:rPr>
        <w:t>5</w:t>
      </w:r>
      <w:r>
        <w:rPr>
          <w:rFonts w:hint="eastAsia" w:ascii="Times New Roman" w:hAnsi="Times New Roman" w:eastAsia="仿宋_GB2312" w:cs="Times New Roman"/>
          <w:sz w:val="30"/>
        </w:rPr>
        <w:t>、红色博物馆的建设</w:t>
      </w:r>
      <w:r>
        <w:rPr>
          <w:rFonts w:ascii="Times New Roman" w:hAnsi="Times New Roman" w:eastAsia="仿宋_GB2312" w:cs="Times New Roman"/>
          <w:sz w:val="30"/>
        </w:rPr>
        <w:t>67</w:t>
      </w:r>
      <w:r>
        <w:rPr>
          <w:rFonts w:hint="eastAsia" w:ascii="Times New Roman" w:hAnsi="Times New Roman" w:eastAsia="仿宋_GB2312" w:cs="Times New Roman"/>
          <w:sz w:val="30"/>
        </w:rPr>
        <w:t>万；6.、贫困人员、残疾人临时救助</w:t>
      </w:r>
      <w:r>
        <w:rPr>
          <w:rFonts w:ascii="Times New Roman" w:hAnsi="Times New Roman" w:eastAsia="仿宋_GB2312" w:cs="Times New Roman"/>
          <w:sz w:val="30"/>
        </w:rPr>
        <w:t>464</w:t>
      </w:r>
      <w:r>
        <w:rPr>
          <w:rFonts w:hint="eastAsia" w:ascii="Times New Roman" w:hAnsi="Times New Roman" w:eastAsia="仿宋_GB2312" w:cs="Times New Roman"/>
          <w:sz w:val="30"/>
        </w:rPr>
        <w:t>万；</w:t>
      </w:r>
      <w:r>
        <w:rPr>
          <w:rFonts w:ascii="Times New Roman" w:hAnsi="Times New Roman" w:eastAsia="仿宋_GB2312" w:cs="Times New Roman"/>
          <w:sz w:val="30"/>
        </w:rPr>
        <w:t>7</w:t>
      </w:r>
      <w:r>
        <w:rPr>
          <w:rFonts w:hint="eastAsia" w:ascii="Times New Roman" w:hAnsi="Times New Roman" w:eastAsia="仿宋_GB2312" w:cs="Times New Roman"/>
          <w:sz w:val="30"/>
        </w:rPr>
        <w:t>、全镇</w:t>
      </w:r>
      <w:r>
        <w:rPr>
          <w:rFonts w:ascii="Times New Roman" w:hAnsi="Times New Roman" w:eastAsia="仿宋_GB2312" w:cs="Times New Roman"/>
          <w:sz w:val="30"/>
        </w:rPr>
        <w:t>卫生</w:t>
      </w:r>
      <w:r>
        <w:rPr>
          <w:rFonts w:hint="eastAsia" w:ascii="Times New Roman" w:hAnsi="Times New Roman" w:eastAsia="仿宋_GB2312" w:cs="Times New Roman"/>
          <w:sz w:val="30"/>
        </w:rPr>
        <w:t>健康</w:t>
      </w:r>
      <w:r>
        <w:rPr>
          <w:rFonts w:ascii="Times New Roman" w:hAnsi="Times New Roman" w:eastAsia="仿宋_GB2312" w:cs="Times New Roman"/>
          <w:sz w:val="30"/>
        </w:rPr>
        <w:t>工作84</w:t>
      </w:r>
      <w:r>
        <w:rPr>
          <w:rFonts w:hint="eastAsia" w:ascii="Times New Roman" w:hAnsi="Times New Roman" w:eastAsia="仿宋_GB2312" w:cs="Times New Roman"/>
          <w:sz w:val="30"/>
        </w:rPr>
        <w:t>万；</w:t>
      </w:r>
      <w:r>
        <w:rPr>
          <w:rFonts w:ascii="Times New Roman" w:hAnsi="Times New Roman" w:eastAsia="仿宋_GB2312" w:cs="Times New Roman"/>
          <w:sz w:val="30"/>
        </w:rPr>
        <w:t>8</w:t>
      </w:r>
      <w:r>
        <w:rPr>
          <w:rFonts w:hint="eastAsia" w:ascii="Times New Roman" w:hAnsi="Times New Roman" w:eastAsia="仿宋_GB2312" w:cs="Times New Roman"/>
          <w:sz w:val="30"/>
        </w:rPr>
        <w:t>、人居环境，乡村振兴建设</w:t>
      </w:r>
      <w:r>
        <w:rPr>
          <w:rFonts w:ascii="Times New Roman" w:hAnsi="Times New Roman" w:eastAsia="仿宋_GB2312" w:cs="Times New Roman"/>
          <w:sz w:val="30"/>
        </w:rPr>
        <w:t>280.5</w:t>
      </w:r>
      <w:r>
        <w:rPr>
          <w:rFonts w:hint="eastAsia" w:ascii="Times New Roman" w:hAnsi="Times New Roman" w:eastAsia="仿宋_GB2312" w:cs="Times New Roman"/>
          <w:sz w:val="30"/>
        </w:rPr>
        <w:t>万；</w:t>
      </w:r>
      <w:r>
        <w:rPr>
          <w:rFonts w:ascii="Times New Roman" w:hAnsi="Times New Roman" w:eastAsia="仿宋_GB2312" w:cs="Times New Roman"/>
          <w:sz w:val="30"/>
        </w:rPr>
        <w:t>9</w:t>
      </w:r>
      <w:r>
        <w:rPr>
          <w:rFonts w:hint="eastAsia" w:ascii="Times New Roman" w:hAnsi="Times New Roman" w:eastAsia="仿宋_GB2312" w:cs="Times New Roman"/>
          <w:sz w:val="30"/>
        </w:rPr>
        <w:t>、棚户区改造</w:t>
      </w:r>
      <w:r>
        <w:rPr>
          <w:rFonts w:ascii="Times New Roman" w:hAnsi="Times New Roman" w:eastAsia="仿宋_GB2312" w:cs="Times New Roman"/>
          <w:sz w:val="30"/>
        </w:rPr>
        <w:t>635</w:t>
      </w:r>
      <w:r>
        <w:rPr>
          <w:rFonts w:hint="eastAsia" w:ascii="Times New Roman" w:hAnsi="Times New Roman" w:eastAsia="仿宋_GB2312" w:cs="Times New Roman"/>
          <w:sz w:val="30"/>
        </w:rPr>
        <w:t>万；10、公路建设2000万；</w:t>
      </w:r>
      <w:r>
        <w:rPr>
          <w:rFonts w:ascii="Times New Roman" w:hAnsi="Times New Roman" w:eastAsia="仿宋_GB2312" w:cs="Times New Roman"/>
          <w:sz w:val="30"/>
        </w:rPr>
        <w:t>11</w:t>
      </w:r>
      <w:r>
        <w:rPr>
          <w:rFonts w:hint="eastAsia" w:ascii="Times New Roman" w:hAnsi="Times New Roman" w:eastAsia="仿宋_GB2312" w:cs="Times New Roman"/>
          <w:sz w:val="30"/>
        </w:rPr>
        <w:t>、水利建设</w:t>
      </w:r>
      <w:r>
        <w:rPr>
          <w:rFonts w:ascii="Times New Roman" w:hAnsi="Times New Roman" w:eastAsia="仿宋_GB2312" w:cs="Times New Roman"/>
          <w:sz w:val="30"/>
        </w:rPr>
        <w:t>1,650</w:t>
      </w:r>
      <w:r>
        <w:rPr>
          <w:rFonts w:hint="eastAsia" w:ascii="Times New Roman" w:hAnsi="Times New Roman" w:eastAsia="仿宋_GB2312" w:cs="Times New Roman"/>
          <w:sz w:val="30"/>
        </w:rPr>
        <w:t>万；12、美丽乡村建设</w:t>
      </w:r>
      <w:r>
        <w:rPr>
          <w:rFonts w:ascii="Times New Roman" w:hAnsi="Times New Roman" w:eastAsia="仿宋_GB2312" w:cs="Times New Roman"/>
          <w:sz w:val="30"/>
        </w:rPr>
        <w:t>1,645</w:t>
      </w:r>
      <w:r>
        <w:rPr>
          <w:rFonts w:hint="eastAsia" w:ascii="Times New Roman" w:hAnsi="Times New Roman" w:eastAsia="仿宋_GB2312" w:cs="Times New Roman"/>
          <w:sz w:val="30"/>
        </w:rPr>
        <w:t>万；</w:t>
      </w:r>
      <w:r>
        <w:rPr>
          <w:rFonts w:ascii="Times New Roman" w:hAnsi="Times New Roman" w:eastAsia="仿宋_GB2312" w:cs="Times New Roman"/>
          <w:sz w:val="30"/>
        </w:rPr>
        <w:t>13</w:t>
      </w:r>
      <w:r>
        <w:rPr>
          <w:rFonts w:hint="eastAsia" w:ascii="Times New Roman" w:hAnsi="Times New Roman" w:eastAsia="仿宋_GB2312" w:cs="Times New Roman"/>
          <w:sz w:val="30"/>
        </w:rPr>
        <w:t>、村级运行保障</w:t>
      </w:r>
      <w:r>
        <w:rPr>
          <w:rFonts w:ascii="Times New Roman" w:hAnsi="Times New Roman" w:eastAsia="仿宋_GB2312" w:cs="Times New Roman"/>
          <w:sz w:val="30"/>
        </w:rPr>
        <w:t>260</w:t>
      </w:r>
      <w:r>
        <w:rPr>
          <w:rFonts w:hint="eastAsia" w:ascii="Times New Roman" w:hAnsi="Times New Roman" w:eastAsia="仿宋_GB2312" w:cs="Times New Roman"/>
          <w:sz w:val="30"/>
        </w:rPr>
        <w:t>万；</w:t>
      </w:r>
      <w:r>
        <w:rPr>
          <w:rFonts w:ascii="Times New Roman" w:hAnsi="Times New Roman" w:eastAsia="仿宋_GB2312" w:cs="Times New Roman"/>
          <w:sz w:val="30"/>
        </w:rPr>
        <w:t>14</w:t>
      </w:r>
      <w:r>
        <w:rPr>
          <w:rFonts w:hint="eastAsia" w:ascii="Times New Roman" w:hAnsi="Times New Roman" w:eastAsia="仿宋_GB2312" w:cs="Times New Roman"/>
          <w:sz w:val="30"/>
        </w:rPr>
        <w:t>、地质灾害防治</w:t>
      </w:r>
      <w:r>
        <w:rPr>
          <w:rFonts w:ascii="Times New Roman" w:hAnsi="Times New Roman" w:eastAsia="仿宋_GB2312" w:cs="Times New Roman"/>
          <w:sz w:val="30"/>
        </w:rPr>
        <w:t>110</w:t>
      </w:r>
      <w:r>
        <w:rPr>
          <w:rFonts w:hint="eastAsia" w:ascii="Times New Roman" w:hAnsi="Times New Roman" w:eastAsia="仿宋_GB2312" w:cs="Times New Roman"/>
          <w:sz w:val="30"/>
        </w:rPr>
        <w:t>万。整体支出绩效目标：1、维护国家安全社会大局稳定，服务乡村振兴；2、改善教学基础设施，为乡村教育发展提供保障；3、搞好全镇卫生基础设施建设，保证人民生命安全；4、充分落实上级国土、环保政策，合理利用和开发土地；5、加强基础设施建设，改善居民的居住和生活条件，为本区域生产生活发展提供保障，促进本镇经济又好又快发展；6、打造美丽流沙河，提高人民群众的幸福感7、发展乡村经济。</w:t>
      </w:r>
    </w:p>
    <w:p>
      <w:pPr>
        <w:spacing w:line="600" w:lineRule="exact"/>
        <w:ind w:firstLine="600" w:firstLineChars="200"/>
        <w:rPr>
          <w:rFonts w:eastAsia="黑体"/>
          <w:sz w:val="30"/>
        </w:rPr>
      </w:pPr>
      <w:r>
        <w:rPr>
          <w:rFonts w:eastAsia="黑体"/>
          <w:sz w:val="30"/>
        </w:rPr>
        <w:t>四、单位整体支出绩效实现情况</w:t>
      </w:r>
    </w:p>
    <w:p>
      <w:pPr>
        <w:spacing w:line="600" w:lineRule="exact"/>
        <w:ind w:firstLine="600" w:firstLineChars="200"/>
        <w:rPr>
          <w:rFonts w:hint="eastAsia" w:eastAsia="仿宋_GB2312"/>
          <w:sz w:val="30"/>
        </w:rPr>
      </w:pPr>
      <w:r>
        <w:rPr>
          <w:rFonts w:eastAsia="仿宋_GB2312"/>
          <w:sz w:val="30"/>
        </w:rPr>
        <w:t>（一）履职完成情况</w:t>
      </w:r>
    </w:p>
    <w:p>
      <w:pPr>
        <w:spacing w:line="600" w:lineRule="exact"/>
        <w:ind w:firstLine="602" w:firstLineChars="200"/>
        <w:rPr>
          <w:rFonts w:hint="eastAsia" w:eastAsia="仿宋_GB2312"/>
          <w:b/>
          <w:sz w:val="30"/>
        </w:rPr>
      </w:pPr>
      <w:r>
        <w:rPr>
          <w:rFonts w:hint="eastAsia" w:eastAsia="仿宋_GB2312"/>
          <w:b/>
          <w:sz w:val="30"/>
        </w:rPr>
        <w:t>1、经济运行稳中有进</w:t>
      </w:r>
    </w:p>
    <w:p>
      <w:pPr>
        <w:spacing w:line="600" w:lineRule="exact"/>
        <w:ind w:firstLine="600" w:firstLineChars="200"/>
        <w:rPr>
          <w:rFonts w:eastAsia="仿宋_GB2312"/>
          <w:sz w:val="30"/>
        </w:rPr>
      </w:pPr>
      <w:r>
        <w:rPr>
          <w:rFonts w:hint="eastAsia" w:eastAsia="仿宋_GB2312"/>
          <w:sz w:val="30"/>
        </w:rPr>
        <w:t>一是经济指标稳健向好。</w:t>
      </w:r>
      <w:r>
        <w:rPr>
          <w:rFonts w:eastAsia="仿宋_GB2312"/>
          <w:sz w:val="30"/>
        </w:rPr>
        <w:t>2021年，全镇完成固定资产投资 5.49亿元;规模以上工业总产值完成1.796亿元，同比增长2.1%；完成限额以上社会消费品零售总额4.2597亿元，同比增长24.12%；实现地方一般预算税收收入505万元，完成市级目标任务。</w:t>
      </w:r>
    </w:p>
    <w:p>
      <w:pPr>
        <w:spacing w:line="600" w:lineRule="exact"/>
        <w:ind w:firstLine="600" w:firstLineChars="200"/>
        <w:rPr>
          <w:rFonts w:eastAsia="仿宋_GB2312"/>
          <w:sz w:val="30"/>
        </w:rPr>
      </w:pPr>
      <w:r>
        <w:rPr>
          <w:rFonts w:hint="eastAsia" w:eastAsia="仿宋_GB2312"/>
          <w:sz w:val="30"/>
        </w:rPr>
        <w:t>二是项目建设加快推进。全年完成农村公路硬化</w:t>
      </w:r>
      <w:r>
        <w:rPr>
          <w:rFonts w:eastAsia="仿宋_GB2312"/>
          <w:sz w:val="30"/>
        </w:rPr>
        <w:t>14.5公里，其中黑化8.4公里；完成山林河、狮子坑塘、荷叶坝等一批水利提质改造项目；草冲中学、流沙河中学、大田方中小等校园维修改善、合兴小学污水管网建成投入使用；响水坝桥拆除重建，目前已进入主体建设阶段。</w:t>
      </w:r>
    </w:p>
    <w:p>
      <w:pPr>
        <w:spacing w:line="600" w:lineRule="exact"/>
        <w:ind w:firstLine="600" w:firstLineChars="200"/>
        <w:rPr>
          <w:rFonts w:eastAsia="仿宋_GB2312"/>
          <w:sz w:val="30"/>
        </w:rPr>
      </w:pPr>
      <w:r>
        <w:rPr>
          <w:rFonts w:hint="eastAsia" w:eastAsia="仿宋_GB2312"/>
          <w:sz w:val="30"/>
        </w:rPr>
        <w:t>三是疫情防控坚实有力。高效落实市疫情防控调度令，网格干部下沉一线，全镇未出现一例感染病例；发动多方力量推进疫苗接种工作，加班加点、专车接送、将接种服务延伸至村组，各年龄阶段人群及加强针疫苗接种工作有序推进；地毯式开展动态摸排，外防输入、内防反弹，筑牢了守护人民生命健康安全屏障；新冠疫情两苗平均脱漏率</w:t>
      </w:r>
      <w:r>
        <w:rPr>
          <w:rFonts w:eastAsia="仿宋_GB2312"/>
          <w:sz w:val="30"/>
        </w:rPr>
        <w:t>6.5%，排名全市第9。</w:t>
      </w:r>
    </w:p>
    <w:p>
      <w:pPr>
        <w:spacing w:line="600" w:lineRule="exact"/>
        <w:ind w:firstLine="602" w:firstLineChars="200"/>
        <w:rPr>
          <w:rFonts w:eastAsia="仿宋_GB2312"/>
          <w:b/>
          <w:sz w:val="30"/>
        </w:rPr>
      </w:pPr>
      <w:r>
        <w:rPr>
          <w:rFonts w:hint="eastAsia" w:eastAsia="仿宋_GB2312"/>
          <w:b/>
          <w:sz w:val="30"/>
        </w:rPr>
        <w:t>2、乡村振兴全面推进</w:t>
      </w:r>
    </w:p>
    <w:p>
      <w:pPr>
        <w:spacing w:line="600" w:lineRule="exact"/>
        <w:ind w:firstLine="600" w:firstLineChars="200"/>
        <w:rPr>
          <w:rFonts w:eastAsia="仿宋_GB2312"/>
          <w:sz w:val="30"/>
        </w:rPr>
      </w:pPr>
      <w:r>
        <w:rPr>
          <w:rFonts w:hint="eastAsia" w:eastAsia="仿宋_GB2312"/>
          <w:sz w:val="30"/>
        </w:rPr>
        <w:t>一是农业转型升级加快。在花猪、小水果、草业等特色产业基础上持续推进“一村一品”发展，年花猪出栏</w:t>
      </w:r>
      <w:r>
        <w:rPr>
          <w:rFonts w:eastAsia="仿宋_GB2312"/>
          <w:sz w:val="30"/>
        </w:rPr>
        <w:t>10.5万头，荷林渔业基地提质升级，年销售超40万斤；种植烟叶3674亩，完成烟叶收购7182担，产值1079余万元；集体经济进一步壮大，实现所有村（社区）年集体经济收入20万元以上，其中荷林社区、花林村达50万以上，红石村、合兴村、流沙河社区达30万以上。2021年流沙河镇被评为宁乡市烟叶收购先进单位，鸿富村被评为宁乡市粮食生产先进村；花林村荣获宁乡市烟叶质量效益综合奖；市场主体发展目标数248户，实际完成325户，位列全市第一。</w:t>
      </w:r>
    </w:p>
    <w:p>
      <w:pPr>
        <w:spacing w:line="600" w:lineRule="exact"/>
        <w:ind w:firstLine="600" w:firstLineChars="200"/>
        <w:rPr>
          <w:rFonts w:eastAsia="仿宋_GB2312"/>
          <w:sz w:val="30"/>
        </w:rPr>
      </w:pPr>
      <w:r>
        <w:rPr>
          <w:rFonts w:hint="eastAsia" w:eastAsia="仿宋_GB2312"/>
          <w:sz w:val="30"/>
        </w:rPr>
        <w:t>二是农村环境持续改善。投入资金</w:t>
      </w:r>
      <w:r>
        <w:rPr>
          <w:rFonts w:eastAsia="仿宋_GB2312"/>
          <w:sz w:val="30"/>
        </w:rPr>
        <w:t>3000余万元打造14个美丽宜居村庄，一次性通过长沙市级验收；通过完善功能、改善景观、水环境治理等，精心部署9个美丽宜居村庄连片建设，成功打造乡村振兴楚江示范片。流沙河镇乡村振兴整体规划在长沙市乡村振兴示范创建镇规划比选中荣获一等奖，11个村（社区）获评湖南省级乡村振兴示范创建村。大力实施农村生活污水处理项目，全年完成改厕300座；持续推进黑臭水体治理、河湖“清四乱”、小微水体管护等行动，合兴村青山河域、朴树河域水体整治项目获得长沙市相关职能部门好评。</w:t>
      </w:r>
    </w:p>
    <w:p>
      <w:pPr>
        <w:spacing w:line="600" w:lineRule="exact"/>
        <w:ind w:firstLine="600" w:firstLineChars="200"/>
        <w:rPr>
          <w:rFonts w:eastAsia="仿宋_GB2312"/>
          <w:sz w:val="30"/>
        </w:rPr>
      </w:pPr>
      <w:r>
        <w:rPr>
          <w:rFonts w:hint="eastAsia" w:eastAsia="仿宋_GB2312"/>
          <w:sz w:val="30"/>
        </w:rPr>
        <w:t>三是农民素质稳步提升。坚持就业是最大的民生，通过举办电工班、叉车班、育婴服务等就业培训</w:t>
      </w:r>
      <w:r>
        <w:rPr>
          <w:rFonts w:eastAsia="仿宋_GB2312"/>
          <w:sz w:val="30"/>
        </w:rPr>
        <w:t>8期56个班，近500人顺利毕业就业，切实提升人民群众生产、生活技能。成功申报认定长沙市乡村产业领军人才3名，占全市总人数的25%，稳居全市第一。</w:t>
      </w:r>
    </w:p>
    <w:p>
      <w:pPr>
        <w:spacing w:line="600" w:lineRule="exact"/>
        <w:ind w:firstLine="602" w:firstLineChars="200"/>
        <w:rPr>
          <w:rFonts w:eastAsia="仿宋_GB2312"/>
          <w:b/>
          <w:sz w:val="30"/>
        </w:rPr>
      </w:pPr>
      <w:r>
        <w:rPr>
          <w:rFonts w:hint="eastAsia" w:eastAsia="仿宋_GB2312"/>
          <w:b/>
          <w:sz w:val="30"/>
        </w:rPr>
        <w:t>3、民生福祉持续增进</w:t>
      </w:r>
    </w:p>
    <w:p>
      <w:pPr>
        <w:spacing w:line="600" w:lineRule="exact"/>
        <w:ind w:firstLine="600" w:firstLineChars="200"/>
        <w:rPr>
          <w:rFonts w:eastAsia="仿宋_GB2312"/>
          <w:sz w:val="30"/>
        </w:rPr>
      </w:pPr>
      <w:r>
        <w:rPr>
          <w:rFonts w:hint="eastAsia" w:eastAsia="仿宋_GB2312"/>
          <w:sz w:val="30"/>
        </w:rPr>
        <w:t>一是民生底线把准兜牢。强化排查摸底，对纳入防返贫监测对象的</w:t>
      </w:r>
      <w:r>
        <w:rPr>
          <w:rFonts w:eastAsia="仿宋_GB2312"/>
          <w:sz w:val="30"/>
        </w:rPr>
        <w:t>56户共105人，针对性制定帮扶方案，目前有16户44人风险消除；脱贫攻坚成果与乡村振兴有效衔接产业发展项目14个，各村级集体经济组织入股360万元，实现带动帮扶205户569人；帮扶生活困难群众3188人次，帮扶低收入困难户755户，提供便民服务6500余次，建设儿童之家5个；养老保险待遇核查“回头看”工作完成征缴任务689万元，启动最快、完成数额最多、完成质量最好，遥遥领先其他乡镇。</w:t>
      </w:r>
    </w:p>
    <w:p>
      <w:pPr>
        <w:spacing w:line="600" w:lineRule="exact"/>
        <w:ind w:firstLine="600" w:firstLineChars="200"/>
        <w:rPr>
          <w:rFonts w:eastAsia="仿宋_GB2312"/>
          <w:sz w:val="30"/>
        </w:rPr>
      </w:pPr>
      <w:r>
        <w:rPr>
          <w:rFonts w:hint="eastAsia" w:eastAsia="仿宋_GB2312"/>
          <w:sz w:val="30"/>
        </w:rPr>
        <w:t>二是公共服务持续改善。积极推动宁乡市人民医院流沙河分院搬迁开业，打造了宁乡乃至长沙的医疗服务高地，辐射人群包括宁乡西部以及湘乡、娄底等地区近</w:t>
      </w:r>
      <w:r>
        <w:rPr>
          <w:rFonts w:eastAsia="仿宋_GB2312"/>
          <w:sz w:val="30"/>
        </w:rPr>
        <w:t>40万人；全年组织义务献血203人次，免费优生检测211对，免费产前筛查364例，“两癌”筛查1508例，各项指标完成均居全市前列。持续推进“一件事一次办”，推动基层公共服务“一门式”全覆盖；2021年高考宁乡七中本科上线人数达106人，其中一本上线21人，实现高考目标任务完成率七连翻。</w:t>
      </w:r>
    </w:p>
    <w:p>
      <w:pPr>
        <w:spacing w:line="600" w:lineRule="exact"/>
        <w:ind w:firstLine="600" w:firstLineChars="200"/>
        <w:rPr>
          <w:rFonts w:hint="eastAsia" w:eastAsia="仿宋_GB2312"/>
          <w:sz w:val="30"/>
        </w:rPr>
      </w:pPr>
      <w:r>
        <w:rPr>
          <w:rFonts w:hint="eastAsia" w:eastAsia="仿宋_GB2312"/>
          <w:sz w:val="30"/>
        </w:rPr>
        <w:t>三是国防安全教育稳步进行。2021年应征报名87人，初检初审合格64人，入伍20人，其中大学毕业生10人，大学在校生6人，高中生4人。镇30多名民兵在市武装部和镇党委政府的带领下，利用干部春训班、镇、村干部会议，民兵点训，国防教育宣传片，舞台剧等多种行之有效的方法开展了国防教育。重点宣传了国防形势、国防科技、国防法规等国防教育内容，激发了全镇广大干部、群众关心国防、热爱国防、支持国防、献身国防的热情。</w:t>
      </w:r>
    </w:p>
    <w:p>
      <w:pPr>
        <w:spacing w:line="600" w:lineRule="exact"/>
        <w:ind w:firstLine="602" w:firstLineChars="200"/>
        <w:rPr>
          <w:rFonts w:eastAsia="仿宋_GB2312"/>
          <w:b/>
          <w:sz w:val="30"/>
        </w:rPr>
      </w:pPr>
      <w:r>
        <w:rPr>
          <w:rFonts w:hint="eastAsia" w:eastAsia="仿宋_GB2312"/>
          <w:b/>
          <w:sz w:val="30"/>
        </w:rPr>
        <w:t>4、基层治理稳定提质</w:t>
      </w:r>
    </w:p>
    <w:p>
      <w:pPr>
        <w:spacing w:line="600" w:lineRule="exact"/>
        <w:ind w:firstLine="600" w:firstLineChars="200"/>
        <w:rPr>
          <w:rFonts w:eastAsia="仿宋_GB2312"/>
          <w:sz w:val="30"/>
        </w:rPr>
      </w:pPr>
      <w:r>
        <w:rPr>
          <w:rFonts w:hint="eastAsia" w:eastAsia="仿宋_GB2312"/>
          <w:sz w:val="30"/>
        </w:rPr>
        <w:t>一是压实交通安全。落实道路常态化管护机制，安装警示柱</w:t>
      </w:r>
      <w:r>
        <w:rPr>
          <w:rFonts w:eastAsia="仿宋_GB2312"/>
          <w:sz w:val="30"/>
        </w:rPr>
        <w:t xml:space="preserve"> 3.2万根、波形护栏5千米, 累计整治里程近60公里；建立多部门联合执法机制，严查交通违法行为，移送违规群众至党校进行“警示学习教育一小时”1000余人次；镇域交通事故亡人数量由2020年的8起9人降至2起2人。</w:t>
      </w:r>
    </w:p>
    <w:p>
      <w:pPr>
        <w:spacing w:line="600" w:lineRule="exact"/>
        <w:ind w:firstLine="600" w:firstLineChars="200"/>
        <w:rPr>
          <w:rFonts w:eastAsia="仿宋_GB2312"/>
          <w:sz w:val="30"/>
        </w:rPr>
      </w:pPr>
      <w:r>
        <w:rPr>
          <w:rFonts w:hint="eastAsia" w:eastAsia="仿宋_GB2312"/>
          <w:sz w:val="30"/>
        </w:rPr>
        <w:t>二是构筑安全底线。稳步推进“平安流沙河建设”，领导常态化带队检查，抓牢重点行业领域安全监管，全年检查各类企业（单位）</w:t>
      </w:r>
      <w:r>
        <w:rPr>
          <w:rFonts w:eastAsia="仿宋_GB2312"/>
          <w:sz w:val="30"/>
        </w:rPr>
        <w:t>452家次，排查各类隐患1114条，立案11起，罚款人民币2.67万元，取缔非法经营门店7家，域内无安全生产事故发生。</w:t>
      </w:r>
    </w:p>
    <w:p>
      <w:pPr>
        <w:spacing w:line="600" w:lineRule="exact"/>
        <w:ind w:firstLine="600" w:firstLineChars="200"/>
        <w:rPr>
          <w:rFonts w:hint="eastAsia" w:eastAsia="仿宋_GB2312"/>
          <w:sz w:val="30"/>
        </w:rPr>
      </w:pPr>
      <w:r>
        <w:rPr>
          <w:rFonts w:hint="eastAsia" w:eastAsia="仿宋_GB2312"/>
          <w:sz w:val="30"/>
        </w:rPr>
        <w:t>三是化解群众诉求。通过“四联五到位”民情大走访、屋场夜话会、“</w:t>
      </w:r>
      <w:r>
        <w:rPr>
          <w:rFonts w:eastAsia="仿宋_GB2312"/>
          <w:sz w:val="30"/>
        </w:rPr>
        <w:t>12345”等方式畅通诉求渠道。</w:t>
      </w:r>
      <w:r>
        <w:rPr>
          <w:rFonts w:hint="eastAsia" w:eastAsia="仿宋_GB2312"/>
          <w:sz w:val="30"/>
        </w:rPr>
        <w:t>建立78个网格，组织干职工入户7512户，</w:t>
      </w:r>
      <w:r>
        <w:rPr>
          <w:rFonts w:eastAsia="仿宋_GB2312"/>
          <w:sz w:val="30"/>
        </w:rPr>
        <w:t>动员组织召开“屋场夜话”近400场，解决民生实事400余个；通过稳控与化解、分级响应与联防联控“双结合”，信访案件稳中有降。</w:t>
      </w:r>
    </w:p>
    <w:p>
      <w:pPr>
        <w:spacing w:line="600" w:lineRule="exact"/>
        <w:ind w:firstLine="600" w:firstLineChars="200"/>
        <w:rPr>
          <w:rFonts w:eastAsia="仿宋_GB2312"/>
          <w:sz w:val="30"/>
        </w:rPr>
      </w:pPr>
      <w:r>
        <w:rPr>
          <w:rFonts w:eastAsia="仿宋_GB2312"/>
          <w:sz w:val="30"/>
        </w:rPr>
        <w:t>（</w:t>
      </w:r>
      <w:r>
        <w:rPr>
          <w:rFonts w:hint="eastAsia" w:eastAsia="仿宋_GB2312"/>
          <w:sz w:val="30"/>
        </w:rPr>
        <w:t>二</w:t>
      </w:r>
      <w:r>
        <w:rPr>
          <w:rFonts w:eastAsia="仿宋_GB2312"/>
          <w:sz w:val="30"/>
        </w:rPr>
        <w:t>）社会满意度情况</w:t>
      </w:r>
    </w:p>
    <w:p>
      <w:pPr>
        <w:spacing w:line="600" w:lineRule="exact"/>
        <w:ind w:firstLine="300" w:firstLineChars="100"/>
        <w:rPr>
          <w:rFonts w:hint="eastAsia" w:eastAsia="仿宋_GB2312"/>
          <w:sz w:val="30"/>
        </w:rPr>
      </w:pPr>
      <w:r>
        <w:rPr>
          <w:rFonts w:eastAsia="仿宋_GB2312"/>
          <w:sz w:val="30"/>
        </w:rPr>
        <w:t xml:space="preserve">  通过上述工作的开展，镇内法治环境逐步优化，</w:t>
      </w:r>
      <w:bookmarkStart w:id="0" w:name="_GoBack"/>
      <w:bookmarkEnd w:id="0"/>
      <w:r>
        <w:rPr>
          <w:rFonts w:hint="eastAsia" w:eastAsia="仿宋_GB2312"/>
          <w:sz w:val="30"/>
        </w:rPr>
        <w:t>农村环境逐步改善，</w:t>
      </w:r>
      <w:r>
        <w:rPr>
          <w:rFonts w:eastAsia="仿宋_GB2312"/>
          <w:sz w:val="30"/>
        </w:rPr>
        <w:t>社会公众的</w:t>
      </w:r>
      <w:r>
        <w:rPr>
          <w:rFonts w:eastAsia="仿宋_GB2312"/>
          <w:color w:val="auto"/>
          <w:sz w:val="30"/>
        </w:rPr>
        <w:t>法</w:t>
      </w:r>
      <w:r>
        <w:rPr>
          <w:rFonts w:hint="eastAsia" w:eastAsia="仿宋_GB2312"/>
          <w:color w:val="auto"/>
          <w:sz w:val="30"/>
          <w:lang w:val="en-US" w:eastAsia="zh-CN"/>
        </w:rPr>
        <w:t>治</w:t>
      </w:r>
      <w:r>
        <w:rPr>
          <w:rFonts w:eastAsia="仿宋_GB2312"/>
          <w:color w:val="auto"/>
          <w:sz w:val="30"/>
        </w:rPr>
        <w:t>意识得</w:t>
      </w:r>
      <w:r>
        <w:rPr>
          <w:rFonts w:eastAsia="仿宋_GB2312"/>
          <w:sz w:val="30"/>
        </w:rPr>
        <w:t>到加强，社会的安定团结得到保障，社会公众的满意度得到了提高，超过95%。</w:t>
      </w:r>
    </w:p>
    <w:p>
      <w:pPr>
        <w:spacing w:line="600" w:lineRule="exact"/>
        <w:ind w:firstLine="600" w:firstLineChars="200"/>
        <w:rPr>
          <w:rFonts w:eastAsia="黑体"/>
          <w:sz w:val="30"/>
        </w:rPr>
      </w:pPr>
      <w:r>
        <w:rPr>
          <w:rFonts w:eastAsia="黑体"/>
          <w:sz w:val="30"/>
        </w:rPr>
        <w:t>五、单位整体支出绩效中存在问题及改进措施</w:t>
      </w:r>
    </w:p>
    <w:p>
      <w:pPr>
        <w:spacing w:line="600" w:lineRule="exact"/>
        <w:ind w:firstLine="600" w:firstLineChars="200"/>
        <w:rPr>
          <w:rFonts w:eastAsia="仿宋_GB2312"/>
          <w:sz w:val="30"/>
        </w:rPr>
      </w:pPr>
      <w:r>
        <w:rPr>
          <w:rFonts w:eastAsia="仿宋_GB2312"/>
          <w:sz w:val="30"/>
        </w:rPr>
        <w:t>（一）主要问题及原因分析</w:t>
      </w:r>
    </w:p>
    <w:p>
      <w:pPr>
        <w:spacing w:line="600" w:lineRule="exact"/>
        <w:ind w:firstLine="592" w:firstLineChars="200"/>
        <w:rPr>
          <w:rFonts w:eastAsia="仿宋_GB2312"/>
          <w:sz w:val="30"/>
        </w:rPr>
      </w:pPr>
      <w:r>
        <w:rPr>
          <w:rFonts w:hint="eastAsia" w:ascii="Times New Roman" w:hAnsi="Times New Roman" w:eastAsia="仿宋_GB2312" w:cs="Times New Roman"/>
          <w:color w:val="333333"/>
          <w:spacing w:val="-2"/>
          <w:sz w:val="30"/>
          <w:szCs w:val="30"/>
        </w:rPr>
        <w:t>1</w:t>
      </w:r>
      <w:r>
        <w:rPr>
          <w:rFonts w:hint="eastAsia" w:ascii="仿宋_GB2312" w:hAnsi="微软雅黑" w:eastAsia="仿宋_GB2312"/>
          <w:color w:val="333333"/>
          <w:spacing w:val="-2"/>
          <w:sz w:val="30"/>
          <w:szCs w:val="30"/>
        </w:rPr>
        <w:t>、预算编制工作有待提高。预算编制的合理性需要提高，预算执行力度还要进一步加强。</w:t>
      </w:r>
    </w:p>
    <w:p>
      <w:pPr>
        <w:pStyle w:val="9"/>
        <w:shd w:val="clear" w:color="auto" w:fill="FFFFFF"/>
        <w:spacing w:before="0" w:beforeAutospacing="0" w:after="0" w:afterAutospacing="0" w:line="560" w:lineRule="atLeast"/>
        <w:ind w:firstLine="420"/>
        <w:jc w:val="both"/>
        <w:rPr>
          <w:rFonts w:hint="eastAsia" w:ascii="微软雅黑" w:hAnsi="微软雅黑" w:eastAsia="微软雅黑"/>
          <w:color w:val="333333"/>
          <w:sz w:val="21"/>
          <w:szCs w:val="21"/>
        </w:rPr>
      </w:pPr>
      <w:r>
        <w:rPr>
          <w:rFonts w:hint="eastAsia" w:ascii="Times New Roman" w:hAnsi="Times New Roman" w:eastAsia="仿宋_GB2312" w:cs="Times New Roman"/>
          <w:color w:val="333333"/>
          <w:spacing w:val="-2"/>
          <w:sz w:val="30"/>
          <w:szCs w:val="30"/>
        </w:rPr>
        <w:t>2</w:t>
      </w:r>
      <w:r>
        <w:rPr>
          <w:rFonts w:hint="eastAsia" w:ascii="仿宋_GB2312" w:hAnsi="微软雅黑" w:eastAsia="仿宋_GB2312"/>
          <w:color w:val="333333"/>
          <w:spacing w:val="-2"/>
          <w:sz w:val="30"/>
          <w:szCs w:val="30"/>
        </w:rPr>
        <w:t>、因单位全额编制少导致经费不足，绩效工资和日常公用经费与实际支出相差较大。</w:t>
      </w:r>
    </w:p>
    <w:p>
      <w:pPr>
        <w:pStyle w:val="9"/>
        <w:shd w:val="clear" w:color="auto" w:fill="FFFFFF"/>
        <w:spacing w:before="0" w:beforeAutospacing="0" w:after="0" w:afterAutospacing="0" w:line="560" w:lineRule="atLeast"/>
        <w:ind w:firstLine="420"/>
        <w:jc w:val="both"/>
        <w:rPr>
          <w:rFonts w:hint="eastAsia" w:ascii="微软雅黑" w:hAnsi="微软雅黑" w:eastAsia="微软雅黑"/>
          <w:color w:val="333333"/>
          <w:sz w:val="21"/>
          <w:szCs w:val="21"/>
        </w:rPr>
      </w:pPr>
      <w:r>
        <w:rPr>
          <w:rFonts w:hint="eastAsia" w:ascii="Times New Roman" w:hAnsi="Times New Roman" w:eastAsia="仿宋_GB2312" w:cs="Times New Roman"/>
          <w:color w:val="333333"/>
          <w:spacing w:val="-2"/>
          <w:sz w:val="30"/>
          <w:szCs w:val="30"/>
        </w:rPr>
        <w:t>3</w:t>
      </w:r>
      <w:r>
        <w:rPr>
          <w:rFonts w:hint="eastAsia" w:ascii="仿宋_GB2312" w:hAnsi="微软雅黑" w:eastAsia="仿宋_GB2312"/>
          <w:color w:val="333333"/>
          <w:spacing w:val="-2"/>
          <w:sz w:val="30"/>
          <w:szCs w:val="30"/>
        </w:rPr>
        <w:t>、公用经费和三公经费控制有一定难度，基本为刚性支出。</w:t>
      </w:r>
    </w:p>
    <w:p>
      <w:pPr>
        <w:spacing w:line="600" w:lineRule="exact"/>
        <w:ind w:firstLine="600" w:firstLineChars="200"/>
        <w:rPr>
          <w:rFonts w:eastAsia="仿宋_GB2312"/>
          <w:sz w:val="30"/>
        </w:rPr>
      </w:pPr>
      <w:r>
        <w:rPr>
          <w:rFonts w:eastAsia="仿宋_GB2312"/>
          <w:sz w:val="30"/>
        </w:rPr>
        <w:t>（二）改进的方向和具体措施</w:t>
      </w:r>
    </w:p>
    <w:p>
      <w:pPr>
        <w:pStyle w:val="9"/>
        <w:shd w:val="clear" w:color="auto" w:fill="FFFFFF"/>
        <w:spacing w:before="0" w:beforeAutospacing="0" w:after="0" w:afterAutospacing="0" w:line="560" w:lineRule="atLeast"/>
        <w:ind w:firstLine="420"/>
        <w:jc w:val="both"/>
        <w:rPr>
          <w:rFonts w:ascii="Times New Roman" w:hAnsi="Times New Roman" w:eastAsia="仿宋_GB2312" w:cs="Times New Roman"/>
          <w:color w:val="333333"/>
          <w:spacing w:val="-2"/>
          <w:sz w:val="30"/>
          <w:szCs w:val="30"/>
        </w:rPr>
      </w:pPr>
      <w:r>
        <w:rPr>
          <w:rFonts w:hint="eastAsia" w:ascii="Times New Roman" w:hAnsi="Times New Roman" w:eastAsia="仿宋_GB2312" w:cs="Times New Roman"/>
          <w:color w:val="333333"/>
          <w:spacing w:val="-2"/>
          <w:sz w:val="30"/>
          <w:szCs w:val="30"/>
        </w:rPr>
        <w:t>针对上述存在的问题及对外整体支出管理工作的需要，拟实施的改进措施如下：</w:t>
      </w:r>
      <w:r>
        <w:rPr>
          <w:rFonts w:ascii="Times New Roman" w:hAnsi="Times New Roman" w:eastAsia="仿宋_GB2312" w:cs="Times New Roman"/>
          <w:color w:val="333333"/>
          <w:spacing w:val="-2"/>
          <w:sz w:val="30"/>
          <w:szCs w:val="30"/>
        </w:rPr>
        <w:t xml:space="preserve"> </w:t>
      </w:r>
    </w:p>
    <w:p>
      <w:pPr>
        <w:pStyle w:val="9"/>
        <w:shd w:val="clear" w:color="auto" w:fill="FFFFFF"/>
        <w:spacing w:before="0" w:beforeAutospacing="0" w:after="0" w:afterAutospacing="0" w:line="560" w:lineRule="atLeast"/>
        <w:ind w:firstLine="420"/>
        <w:jc w:val="both"/>
        <w:rPr>
          <w:rFonts w:ascii="Times New Roman" w:hAnsi="Times New Roman" w:eastAsia="仿宋_GB2312" w:cs="Times New Roman"/>
          <w:color w:val="333333"/>
          <w:spacing w:val="-2"/>
          <w:sz w:val="30"/>
          <w:szCs w:val="30"/>
        </w:rPr>
      </w:pPr>
      <w:r>
        <w:rPr>
          <w:rFonts w:ascii="Times New Roman" w:hAnsi="Times New Roman" w:eastAsia="仿宋_GB2312" w:cs="Times New Roman"/>
          <w:color w:val="333333"/>
          <w:spacing w:val="-2"/>
          <w:sz w:val="30"/>
          <w:szCs w:val="30"/>
        </w:rPr>
        <w:t xml:space="preserve"> 1、细化预算编制工作，认真做好预算的编制。进一步加强单位内部机构各科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 </w:t>
      </w:r>
    </w:p>
    <w:p>
      <w:pPr>
        <w:pStyle w:val="9"/>
        <w:shd w:val="clear" w:color="auto" w:fill="FFFFFF"/>
        <w:spacing w:before="0" w:beforeAutospacing="0" w:after="0" w:afterAutospacing="0" w:line="560" w:lineRule="atLeast"/>
        <w:ind w:firstLine="420"/>
        <w:jc w:val="both"/>
        <w:rPr>
          <w:rFonts w:ascii="Times New Roman" w:hAnsi="Times New Roman" w:eastAsia="仿宋_GB2312" w:cs="Times New Roman"/>
          <w:color w:val="333333"/>
          <w:spacing w:val="-2"/>
          <w:sz w:val="30"/>
          <w:szCs w:val="30"/>
        </w:rPr>
      </w:pPr>
      <w:r>
        <w:rPr>
          <w:rFonts w:ascii="Times New Roman" w:hAnsi="Times New Roman" w:eastAsia="仿宋_GB2312" w:cs="Times New Roman"/>
          <w:color w:val="333333"/>
          <w:spacing w:val="-2"/>
          <w:sz w:val="30"/>
          <w:szCs w:val="30"/>
        </w:rPr>
        <w:t xml:space="preserve"> 2、加强财务管理，严格财务审核。加强单位财务管理，健全单位财务管理制度体系，规范单位财务行为。在费用报账支付时，按</w:t>
      </w:r>
      <w:r>
        <w:rPr>
          <w:rFonts w:hint="eastAsia" w:ascii="Times New Roman" w:hAnsi="Times New Roman" w:eastAsia="仿宋_GB2312" w:cs="Times New Roman"/>
          <w:color w:val="333333"/>
          <w:spacing w:val="-2"/>
          <w:sz w:val="30"/>
          <w:szCs w:val="30"/>
        </w:rPr>
        <w:t>照预算规定的费用项目和用途进行资金使用审核、列报支付、财务核算，杜绝超支现象的发生。</w:t>
      </w:r>
      <w:r>
        <w:rPr>
          <w:rFonts w:ascii="Times New Roman" w:hAnsi="Times New Roman" w:eastAsia="仿宋_GB2312" w:cs="Times New Roman"/>
          <w:color w:val="333333"/>
          <w:spacing w:val="-2"/>
          <w:sz w:val="30"/>
          <w:szCs w:val="30"/>
        </w:rPr>
        <w:t xml:space="preserve"> </w:t>
      </w:r>
    </w:p>
    <w:p>
      <w:pPr>
        <w:pStyle w:val="9"/>
        <w:shd w:val="clear" w:color="auto" w:fill="FFFFFF"/>
        <w:spacing w:before="0" w:beforeAutospacing="0" w:after="0" w:afterAutospacing="0" w:line="560" w:lineRule="atLeast"/>
        <w:ind w:firstLine="420"/>
        <w:jc w:val="both"/>
        <w:rPr>
          <w:rFonts w:ascii="Times New Roman" w:hAnsi="Times New Roman" w:eastAsia="仿宋_GB2312" w:cs="Times New Roman"/>
          <w:color w:val="333333"/>
          <w:spacing w:val="-2"/>
          <w:sz w:val="30"/>
          <w:szCs w:val="30"/>
        </w:rPr>
      </w:pPr>
      <w:r>
        <w:rPr>
          <w:rFonts w:ascii="Times New Roman" w:hAnsi="Times New Roman" w:eastAsia="仿宋_GB2312" w:cs="Times New Roman"/>
          <w:color w:val="333333"/>
          <w:spacing w:val="-2"/>
          <w:sz w:val="30"/>
          <w:szCs w:val="30"/>
        </w:rPr>
        <w:t xml:space="preserve"> 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进一步细化“三公”经费的管理，合理压缩“三公”经费支出。  </w:t>
      </w:r>
    </w:p>
    <w:p>
      <w:pPr>
        <w:pStyle w:val="9"/>
        <w:shd w:val="clear" w:color="auto" w:fill="FFFFFF"/>
        <w:spacing w:before="0" w:beforeAutospacing="0" w:after="0" w:afterAutospacing="0" w:line="560" w:lineRule="atLeast"/>
        <w:ind w:firstLine="420"/>
        <w:jc w:val="both"/>
        <w:rPr>
          <w:rFonts w:ascii="Times New Roman" w:hAnsi="Times New Roman" w:eastAsia="仿宋_GB2312" w:cs="Times New Roman"/>
          <w:color w:val="333333"/>
          <w:spacing w:val="-2"/>
          <w:sz w:val="30"/>
          <w:szCs w:val="30"/>
        </w:rPr>
      </w:pPr>
      <w:r>
        <w:rPr>
          <w:rFonts w:ascii="Times New Roman" w:hAnsi="Times New Roman" w:eastAsia="仿宋_GB2312" w:cs="Times New Roman"/>
          <w:color w:val="333333"/>
          <w:spacing w:val="-2"/>
          <w:sz w:val="30"/>
          <w:szCs w:val="30"/>
        </w:rPr>
        <w:t>4、对相关人员加强培训，特别是针对《预算法》《行政事业单位会计制</w:t>
      </w:r>
      <w:r>
        <w:rPr>
          <w:rFonts w:hint="eastAsia" w:ascii="Times New Roman" w:hAnsi="Times New Roman" w:eastAsia="仿宋_GB2312" w:cs="Times New Roman"/>
          <w:color w:val="333333"/>
          <w:spacing w:val="-2"/>
          <w:sz w:val="30"/>
          <w:szCs w:val="30"/>
        </w:rPr>
        <w:t>度》等学习培训，规范部门预算收支核算，切实提高部门预算收支管理水平。</w:t>
      </w:r>
    </w:p>
    <w:p>
      <w:pPr>
        <w:spacing w:line="600" w:lineRule="exact"/>
        <w:ind w:firstLine="600" w:firstLineChars="200"/>
        <w:rPr>
          <w:rFonts w:eastAsia="黑体"/>
          <w:sz w:val="30"/>
        </w:rPr>
      </w:pPr>
      <w:r>
        <w:rPr>
          <w:rFonts w:eastAsia="黑体"/>
          <w:sz w:val="30"/>
        </w:rPr>
        <w:t>六、绩效自评结果拟应用和公开情况</w:t>
      </w:r>
    </w:p>
    <w:p>
      <w:pPr>
        <w:pStyle w:val="9"/>
        <w:shd w:val="clear" w:color="auto" w:fill="FFFFFF"/>
        <w:spacing w:before="0" w:beforeAutospacing="0" w:after="0" w:afterAutospacing="0" w:line="560" w:lineRule="atLeast"/>
        <w:ind w:firstLine="420"/>
        <w:jc w:val="both"/>
        <w:rPr>
          <w:rFonts w:ascii="Times New Roman" w:hAnsi="Times New Roman" w:eastAsia="仿宋_GB2312" w:cs="Times New Roman"/>
          <w:color w:val="333333"/>
          <w:spacing w:val="-2"/>
          <w:sz w:val="30"/>
          <w:szCs w:val="30"/>
        </w:rPr>
      </w:pPr>
      <w:r>
        <w:rPr>
          <w:rFonts w:ascii="Times New Roman" w:hAnsi="Times New Roman" w:eastAsia="仿宋_GB2312" w:cs="Times New Roman"/>
          <w:color w:val="333333"/>
          <w:spacing w:val="-2"/>
          <w:sz w:val="30"/>
          <w:szCs w:val="30"/>
        </w:rPr>
        <w:t xml:space="preserve">1、我单位逐步建立绩效评价与部门预算相结合的结果应用机制，采取项目预期绩效目标申报制度，强化评价结果在部门预算编制和执行中的应用，实现绩效评价结果在部门预算编制和执行中的应用，促进财政资金的合理分配与有效使用。  </w:t>
      </w:r>
    </w:p>
    <w:p>
      <w:pPr>
        <w:pStyle w:val="9"/>
        <w:shd w:val="clear" w:color="auto" w:fill="FFFFFF"/>
        <w:spacing w:before="0" w:beforeAutospacing="0" w:after="0" w:afterAutospacing="0" w:line="560" w:lineRule="atLeast"/>
        <w:ind w:firstLine="420"/>
        <w:jc w:val="both"/>
        <w:rPr>
          <w:rFonts w:hint="eastAsia" w:ascii="Times New Roman" w:hAnsi="Times New Roman" w:eastAsia="仿宋_GB2312" w:cs="Times New Roman"/>
          <w:color w:val="333333"/>
          <w:spacing w:val="-2"/>
          <w:sz w:val="30"/>
          <w:szCs w:val="30"/>
        </w:rPr>
      </w:pPr>
      <w:r>
        <w:rPr>
          <w:rFonts w:ascii="Times New Roman" w:hAnsi="Times New Roman" w:eastAsia="仿宋_GB2312" w:cs="Times New Roman"/>
          <w:color w:val="333333"/>
          <w:spacing w:val="-2"/>
          <w:sz w:val="30"/>
          <w:szCs w:val="30"/>
        </w:rPr>
        <w:t>2、我单位按规定在政府门户网站公开了绩效自评的相关信息，数据真实、完整、准确。</w:t>
      </w:r>
    </w:p>
    <w:p>
      <w:pPr>
        <w:spacing w:line="600" w:lineRule="exact"/>
        <w:ind w:firstLine="600" w:firstLineChars="200"/>
        <w:rPr>
          <w:rFonts w:eastAsia="黑体"/>
          <w:sz w:val="30"/>
        </w:rPr>
      </w:pPr>
      <w:r>
        <w:rPr>
          <w:rFonts w:eastAsia="黑体"/>
          <w:sz w:val="30"/>
        </w:rPr>
        <w:t>七、其它需要说明的情况</w:t>
      </w:r>
    </w:p>
    <w:p>
      <w:pPr>
        <w:spacing w:line="600" w:lineRule="exact"/>
        <w:ind w:firstLine="592" w:firstLineChars="200"/>
        <w:rPr>
          <w:rFonts w:hint="eastAsia" w:ascii="Times New Roman" w:hAnsi="Times New Roman" w:eastAsia="仿宋_GB2312" w:cs="Times New Roman"/>
          <w:color w:val="333333"/>
          <w:spacing w:val="-2"/>
          <w:kern w:val="0"/>
          <w:sz w:val="30"/>
          <w:szCs w:val="30"/>
        </w:rPr>
      </w:pPr>
      <w:r>
        <w:rPr>
          <w:rFonts w:ascii="Times New Roman" w:hAnsi="Times New Roman" w:eastAsia="仿宋_GB2312" w:cs="Times New Roman"/>
          <w:color w:val="333333"/>
          <w:spacing w:val="-2"/>
          <w:kern w:val="0"/>
          <w:sz w:val="30"/>
          <w:szCs w:val="30"/>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E07D77"/>
    <w:multiLevelType w:val="multilevel"/>
    <w:tmpl w:val="74E07D77"/>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ZDE0ODJiOThmZDA4NDU2Y2IyZGZhNGMzOWE5NjYifQ=="/>
  </w:docVars>
  <w:rsids>
    <w:rsidRoot w:val="00B3310E"/>
    <w:rsid w:val="00050128"/>
    <w:rsid w:val="0005566C"/>
    <w:rsid w:val="000B52FC"/>
    <w:rsid w:val="00284C8A"/>
    <w:rsid w:val="002A446B"/>
    <w:rsid w:val="002B15DB"/>
    <w:rsid w:val="002F1936"/>
    <w:rsid w:val="003721A3"/>
    <w:rsid w:val="003E735E"/>
    <w:rsid w:val="004119E5"/>
    <w:rsid w:val="00490464"/>
    <w:rsid w:val="004F6F34"/>
    <w:rsid w:val="0064385E"/>
    <w:rsid w:val="0078130F"/>
    <w:rsid w:val="00803D14"/>
    <w:rsid w:val="00817A84"/>
    <w:rsid w:val="00823968"/>
    <w:rsid w:val="009D705B"/>
    <w:rsid w:val="00AA6FDF"/>
    <w:rsid w:val="00B3310E"/>
    <w:rsid w:val="00BB74AD"/>
    <w:rsid w:val="00C23FEB"/>
    <w:rsid w:val="00C90F17"/>
    <w:rsid w:val="00CF73CC"/>
    <w:rsid w:val="00DA72BA"/>
    <w:rsid w:val="00DF010F"/>
    <w:rsid w:val="00F54DB0"/>
    <w:rsid w:val="389B24B7"/>
    <w:rsid w:val="5F7C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 w:type="paragraph" w:customStyle="1" w:styleId="9">
    <w:name w:val="p"/>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A4D3-4F7C-41F3-860F-B91063AD05E4}">
  <ds:schemaRefs/>
</ds:datastoreItem>
</file>

<file path=docProps/app.xml><?xml version="1.0" encoding="utf-8"?>
<Properties xmlns="http://schemas.openxmlformats.org/officeDocument/2006/extended-properties" xmlns:vt="http://schemas.openxmlformats.org/officeDocument/2006/docPropsVTypes">
  <Template>Normal.dotm</Template>
  <Company>宁乡市财政局</Company>
  <Pages>9</Pages>
  <Words>4718</Words>
  <Characters>5094</Characters>
  <Lines>36</Lines>
  <Paragraphs>10</Paragraphs>
  <TotalTime>5482</TotalTime>
  <ScaleCrop>false</ScaleCrop>
  <LinksUpToDate>false</LinksUpToDate>
  <CharactersWithSpaces>5118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2022-04-18T02:34:00Z</dcterms:created>
  <dc:creator>Administrator</dc:creator>
  <cp:lastModifiedBy>Dzb-new</cp:lastModifiedBy>
  <dcterms:modified xsi:type="dcterms:W3CDTF">2023-06-02T07:46:54Z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AC0CA189CAA8497FBB874AC9919418B1</vt:lpwstr>
  </property>
</Properties>
</file>