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</w:rPr>
      </w:pPr>
      <w:r>
        <w:rPr>
          <w:rFonts w:hint="eastAsia" w:ascii="Times New Roman" w:hAnsi="Times New Roman" w:eastAsia="方正小标宋简体"/>
          <w:b/>
          <w:kern w:val="0"/>
          <w:sz w:val="44"/>
          <w:szCs w:val="44"/>
          <w:lang w:val="en-US" w:eastAsia="zh-CN"/>
        </w:rPr>
        <w:t>宁乡市殡仪馆</w:t>
      </w:r>
      <w:r>
        <w:rPr>
          <w:rFonts w:ascii="Times New Roman" w:hAnsi="Times New Roman" w:eastAsia="方正小标宋简体"/>
          <w:b/>
          <w:kern w:val="0"/>
          <w:sz w:val="44"/>
          <w:szCs w:val="44"/>
        </w:rPr>
        <w:t>部门整体支出绩效</w:t>
      </w:r>
      <w:r>
        <w:rPr>
          <w:rFonts w:hint="eastAsia" w:ascii="Times New Roman" w:hAnsi="Times New Roman" w:eastAsia="方正小标宋简体"/>
          <w:b/>
          <w:kern w:val="0"/>
          <w:sz w:val="44"/>
          <w:szCs w:val="44"/>
        </w:rPr>
        <w:t>自评</w:t>
      </w:r>
      <w:r>
        <w:rPr>
          <w:rFonts w:ascii="Times New Roman" w:hAnsi="Times New Roman" w:eastAsia="方正小标宋简体"/>
          <w:b/>
          <w:kern w:val="0"/>
          <w:sz w:val="44"/>
          <w:szCs w:val="44"/>
        </w:rPr>
        <w:t>报告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1.人员情况。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年末实有人数11人，其中机关行政人员0人，事业人员11人，与上年人数相同。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2.机构情况。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宁乡市殡仪馆内设机构包括：馆长1名，副馆长2名，设办公室、财务室、公墓组、业务组、火化组、开票室等科室。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3.主要职能。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提供殡仪服务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殡葬礼仪服务；遗体处置服务遗体火化；骨灰安葬安放服务；遗体安葬；丧葬用品服务。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4.重点工作计划。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（1）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实施全市遗体火化率达到100%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殡改工作的持续推进，政策的大力宣导，惠民补助的财政资金支持，使殡葬改革成果得到进一步巩固和深化。2020年全市火化遗体11565具，遗体火化率达到100%。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 xml:space="preserve">     （2）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惠民殡葬补助资金及时到位并循规发放，稳步推进殡葬改革工作</w:t>
      </w:r>
    </w:p>
    <w:p>
      <w:pPr>
        <w:pStyle w:val="8"/>
        <w:spacing w:line="600" w:lineRule="exact"/>
        <w:ind w:firstLine="642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度惠民殡葬补助共补贴全市9154户群众，补贴总金额约1071.62万元。补贴申领程序合法、合理、合规，补贴金额按市政府文件标准统一发放，无虚列（套取）、支出依据不合规、截留、挤占、挪用、超标准开支情况。补助对象为具有本市户籍，未享有国家或单位丧葬费补助的城乡居民。专项资金使用达到了绩效目标的要求。</w:t>
      </w:r>
    </w:p>
    <w:p>
      <w:pPr>
        <w:spacing w:line="440" w:lineRule="atLeast"/>
        <w:ind w:firstLine="642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3）</w:t>
      </w:r>
      <w:r>
        <w:rPr>
          <w:rFonts w:hint="eastAsia" w:ascii="仿宋_GB2312" w:eastAsia="仿宋_GB2312"/>
          <w:b/>
          <w:bCs/>
          <w:sz w:val="32"/>
          <w:szCs w:val="32"/>
        </w:rPr>
        <w:t>基础设施建设相继启动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进一步加强殡葬队伍管理，规范殡仪服务行为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继续规范殡仪馆和殡仪服务运输车服务收费行为，做到群众满意。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完善馆内各项制度和应急预案，加强人员管理，确保做事有制可查、遇事有有章可循。</w:t>
      </w:r>
    </w:p>
    <w:p>
      <w:pPr>
        <w:spacing w:line="440" w:lineRule="atLeas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（4）</w:t>
      </w:r>
      <w:r>
        <w:rPr>
          <w:rFonts w:hint="eastAsia" w:ascii="仿宋_GB2312" w:eastAsia="仿宋_GB2312"/>
          <w:b/>
          <w:bCs w:val="0"/>
          <w:sz w:val="32"/>
          <w:szCs w:val="32"/>
        </w:rPr>
        <w:t>进一步完善殡葬服务设施，为深化殡葬改革提供保障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继续推进治丧礼仪服务项目招标工作，引进有实力有经验的团队，提升殡仪服务水平。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加强对乡镇公益性墓地建设的督查，督促乡镇强力推进公益性墓地建设，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全面完成建设任务。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2020年系统基本支出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199.19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万元，其中工资福利支出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162.38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万元，商品和服务支出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29.11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万元，对个人和家庭补助支出7.7万元。基本支出占总支出的7.55%。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“三公”经费支出情况：本年“三公”经费支出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6.22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万元，其中公务用车购置及运行维护费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5.61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万元，公务接待费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0.61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万元，因公出国（境）费0万元。“三公”经费支出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与上年相比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持平，继续历行节约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1.项目资金（包括财政资金、自筹资金等）安排落实、总投入等情况分析。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2622.03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其中财政资金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2622.03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万元，其他资金0万元，资金到位及时。项目支出较去年减少210.39万元，减少的主要原因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是因为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疫情原因，收支都有些紧缩。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项目资金（主要指财政资金）实际使用情况分析。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2020年度财政资金项目支出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2622.03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万元，使用情况：城乡居民基本殡葬服务支出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2622.03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项目资金管理情况分析，主要包括管理制度、办法的制订及执行情况。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按照《宁乡市民政局财务管理制度》，明确了专项资金管理，专项资金使用、拨付严格按照财务管理制度执行，做到专款专用，资金使用无截留、挤占、挪用、虚列支出等情况，严格按照政府会计准则制度进行账务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惠民殡葬补助直补金的发放严格按照“长沙市民政局、长沙市财政局关于进一步完善城乡居民基本殡葬服务费补助的办法（试行）的通知-长民发【2015】24号文件精神实施。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本单位从普法政策的宣传，到柜台各项收费及票据的明细开具，补助资料的收集、审核及补助的发放，全部流程都有据可循，争取广大市民群众的利益落到实处，为殡葬改革的有效实施、社会稳定奉献自己的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三、部门项目组织实施情况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（一）项目组织情况分析，主要包括项目招投标、调整、竣工验收等情况。</w:t>
      </w:r>
    </w:p>
    <w:p>
      <w:pPr>
        <w:spacing w:line="550" w:lineRule="exact"/>
        <w:ind w:firstLine="645"/>
        <w:rPr>
          <w:rFonts w:hint="eastAsia" w:ascii="楷体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制定了《宁乡市民政局货物、服务、工程采购制度》，根据项目金额，使用恰当的采购方式</w:t>
      </w:r>
      <w:r>
        <w:rPr>
          <w:rFonts w:hint="eastAsia" w:eastAsia="仿宋_GB2312"/>
          <w:sz w:val="32"/>
          <w:szCs w:val="32"/>
        </w:rPr>
        <w:t>。采购金额200（含）万元以上的，依规采用公开招标方式进行采购，凭采购信息系统备案记录或中标通知书及验收资料办理支付。</w:t>
      </w:r>
      <w:r>
        <w:rPr>
          <w:rFonts w:hint="eastAsia" w:eastAsia="仿宋_GB2312"/>
          <w:sz w:val="32"/>
          <w:szCs w:val="32"/>
          <w:lang w:val="en-US" w:eastAsia="zh-CN"/>
        </w:rPr>
        <w:t>各采购项目</w:t>
      </w:r>
      <w:r>
        <w:rPr>
          <w:rFonts w:hint="eastAsia" w:eastAsia="仿宋_GB2312"/>
          <w:sz w:val="32"/>
          <w:szCs w:val="32"/>
        </w:rPr>
        <w:t>明确采购联络人、采购组成员、验收组成员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项目管理情况分析，主要包括项目管理制度建设、日常检查监督管理等情况。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项目开展有具体的负责科室（单位）作为保障并明确实施主体责任；完善财务管理制度，强化内部资金使用的监督检查；重视配合部门外部监督检查工作，如配合审计部门开展预算执行和财务收支审计工作，并对审计发现的问题积极开展整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四、资产管理情况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一是制定《宁乡市民政局财务管理制度》和《宁乡市民政局货物、服务、工程采购制度》，规范固定资产的采购、使用、处置。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二是固定资产保存完整、配置合理、使用率达到100%。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三是固定资产账务管理合规、账实相符、处置规范。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单位年初工作规划和重点工作，围绕市委、市政府的工作部署，积极履行职责，强化管理，较好地完成了年度工作目标，同时加强预算收支的管理，建立健全内部管理制度，严格内部管理流程，部门整体支出管理得到了提升。2020年度部门整体支出绩效情况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经济性方面：本年预算配置控制较好，财政供养人员控制在预算编制以内；“三公”经费支出总额较上年有减少。制定了切实有效的内部财务、车辆、资产管理制度，执行总体较为有效。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效率性方面：各项目按计划开展，如期保质保量完成，各类资金拨付及时，资金使用符合财政支付和财务管理制度规定。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、有效性方面：2020年度城乡居民基本殡葬服务费补助项目实施，有效减轻群众负担，实现了便民利民、服务群众的目的，体现了党和政府对民生问题的关心，对于我市全面推行殡葬改革提供了保障，对维护社会稳定、促进社会和谐具有十分重要的意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4、可持续性方面：及时跟进项目进展，为项目后续开展提供资金保障；完善项目管理措施，强化监督与绩效评价，确保项目资金用到实处。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150" w:afterAutospacing="0" w:line="58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一是预算编制有待更严格执行，预算编制更加细化。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150" w:afterAutospacing="0" w:line="58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二是应严格控制机关运行经费，进一步缩减公务接待支出。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七、改进措施和有关建议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细化预算编制工作，认真做好预算的编制。进一步加强单位内部机构各科室的预算管理意识，严格按照预算编制的相关制度和要求进行预算编制；优先保障固定性的、相对刚性的费用支出项目，尽量压缩变动性的、有控制空间的费用项目，进一步提高预算编制的科学性、严谨性和可控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2、加强财务管理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，抓好“三公”经费控制。健全单位财务管理制度体系，规范单位财务行为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费用报账支付时，按照预算规定的费用项目和用途进行资金使用审核、列报支付、财务核算，杜绝超支现象的发生。严格控制“三公”经费的规模和比例，把关“三公”经费支出的审核、审批，杜绝挪用和挤占其他预算资金行为；进一步细化“三公”经费的管理，合理压缩“三公”经费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宁乡市殡仪馆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2021年7月15日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"http://www.nxcity.gov.cn/zw229/zt60/nxsczysgkzl13257/bmyjshsgjf13260/nxsmzj13339/202107/t20210719_10074475.html"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http://www.nxcity.gov.cn/zw229/zt60/nxsczysgkzl13257/bmyjshsgjf13260/nxsmzj13339/202107/t20210719_10074475.html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77DF7B"/>
    <w:multiLevelType w:val="singleLevel"/>
    <w:tmpl w:val="E377DF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571B2"/>
    <w:rsid w:val="002D07CA"/>
    <w:rsid w:val="036529AD"/>
    <w:rsid w:val="04C92A28"/>
    <w:rsid w:val="06514B7F"/>
    <w:rsid w:val="085B4446"/>
    <w:rsid w:val="08D312FC"/>
    <w:rsid w:val="0D4A73A6"/>
    <w:rsid w:val="11D265D3"/>
    <w:rsid w:val="12790D87"/>
    <w:rsid w:val="132B225C"/>
    <w:rsid w:val="17315716"/>
    <w:rsid w:val="18EC49ED"/>
    <w:rsid w:val="1AB86765"/>
    <w:rsid w:val="1B226473"/>
    <w:rsid w:val="1ED07D35"/>
    <w:rsid w:val="1FB61D43"/>
    <w:rsid w:val="203E030D"/>
    <w:rsid w:val="266D3318"/>
    <w:rsid w:val="274A3DA9"/>
    <w:rsid w:val="27E547CB"/>
    <w:rsid w:val="282F7BEE"/>
    <w:rsid w:val="2A1246DB"/>
    <w:rsid w:val="2AA171E8"/>
    <w:rsid w:val="2B0A05ED"/>
    <w:rsid w:val="2DB1369E"/>
    <w:rsid w:val="2F391E6B"/>
    <w:rsid w:val="30125F46"/>
    <w:rsid w:val="33812DB7"/>
    <w:rsid w:val="35C60886"/>
    <w:rsid w:val="393571B2"/>
    <w:rsid w:val="3ADC3914"/>
    <w:rsid w:val="3F602F41"/>
    <w:rsid w:val="444E4827"/>
    <w:rsid w:val="45006815"/>
    <w:rsid w:val="46CF0535"/>
    <w:rsid w:val="4AA7545E"/>
    <w:rsid w:val="4BD26CEB"/>
    <w:rsid w:val="4F4D7416"/>
    <w:rsid w:val="4F9F61DC"/>
    <w:rsid w:val="4FBE6BB0"/>
    <w:rsid w:val="505521EF"/>
    <w:rsid w:val="509556F2"/>
    <w:rsid w:val="51221F36"/>
    <w:rsid w:val="52E44065"/>
    <w:rsid w:val="59C42CF9"/>
    <w:rsid w:val="5AA63A5F"/>
    <w:rsid w:val="6089026A"/>
    <w:rsid w:val="61997BE3"/>
    <w:rsid w:val="663A09DA"/>
    <w:rsid w:val="66C552FE"/>
    <w:rsid w:val="685E78DE"/>
    <w:rsid w:val="6AF678C3"/>
    <w:rsid w:val="6E593FDA"/>
    <w:rsid w:val="6F77466A"/>
    <w:rsid w:val="727F4E84"/>
    <w:rsid w:val="74AF3179"/>
    <w:rsid w:val="74FB12CB"/>
    <w:rsid w:val="77FE7D2F"/>
    <w:rsid w:val="7B283A0F"/>
    <w:rsid w:val="7D1E28CA"/>
    <w:rsid w:val="7F62762E"/>
    <w:rsid w:val="7F6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Office_10.8.0.6611_F1E327BC-269C-435d-A152-05C5408002CA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2021-03-15T09:42:00Z</dcterms:created>
  <dc:creator>梧桐林</dc:creator>
  <cp:lastModifiedBy>admin</cp:lastModifiedBy>
  <cp:lastPrinted>2021-07-15T12:53:00Z</cp:lastPrinted>
  <dcterms:modified xsi:type="dcterms:W3CDTF">2021-07-19T15:22:56Z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2052-10.8.0.6611</vt:lpwstr>
  </property>
  <property fmtid="{D5CDD505-2E9C-101B-9397-08002B2CF9AE}" pid="3" name="ICV">
    <vt:lpwstr>3FA9F2BCE5864394A6886D72744BD0C1</vt:lpwstr>
  </property>
</Properties>
</file>