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b/>
          <w:sz w:val="32"/>
          <w:szCs w:val="32"/>
        </w:rPr>
      </w:pPr>
      <w:r>
        <w:rPr>
          <w:rFonts w:hint="eastAsia" w:ascii="黑体" w:hAnsi="黑体" w:eastAsia="黑体"/>
          <w:b/>
          <w:sz w:val="32"/>
          <w:szCs w:val="32"/>
          <w:lang w:val="en-US" w:eastAsia="zh-CN"/>
        </w:rPr>
        <w:t>双江口</w:t>
      </w:r>
      <w:r>
        <w:rPr>
          <w:rFonts w:hint="eastAsia" w:ascii="黑体" w:hAnsi="黑体" w:eastAsia="黑体"/>
          <w:b/>
          <w:sz w:val="32"/>
          <w:szCs w:val="32"/>
        </w:rPr>
        <w:t>镇人民政府2021年度部门整体支出绩效自评报告</w:t>
      </w: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w:t>
      </w:r>
      <w:r>
        <w:rPr>
          <w:rFonts w:hint="eastAsia" w:ascii="宋体" w:hAnsi="宋体" w:eastAsia="宋体" w:cs="宋体"/>
          <w:b/>
          <w:bCs/>
          <w:sz w:val="30"/>
          <w:szCs w:val="30"/>
        </w:rPr>
        <w:t>整体</w:t>
      </w:r>
      <w:r>
        <w:rPr>
          <w:rFonts w:hint="eastAsia" w:ascii="宋体" w:hAnsi="宋体" w:eastAsia="宋体" w:cs="宋体"/>
          <w:b/>
          <w:bCs/>
          <w:sz w:val="30"/>
          <w:szCs w:val="30"/>
          <w:lang w:val="en-US" w:eastAsia="zh-CN"/>
        </w:rPr>
        <w:t>情况</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（一）部门概况</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2021年双江口镇共辖17个村（社区）、525个居民小组，乡镇总人口8.72万，现有村（社区）干部95人。我镇政府工作机构分设机关、一所三中心，即政府机关、司法所、社会事务综合服务中心、农业综合服务中心、政务服务中心。</w:t>
      </w:r>
      <w:r>
        <w:rPr>
          <w:rFonts w:hint="eastAsia" w:ascii="宋体" w:hAnsi="宋体" w:eastAsia="宋体" w:cs="宋体"/>
          <w:sz w:val="30"/>
          <w:szCs w:val="30"/>
        </w:rPr>
        <w:t>镇财政供养实有在职173人.</w:t>
      </w:r>
    </w:p>
    <w:p>
      <w:pPr>
        <w:rPr>
          <w:rFonts w:hint="eastAsia" w:ascii="宋体" w:hAnsi="宋体" w:eastAsia="宋体" w:cs="宋体"/>
          <w:sz w:val="30"/>
          <w:szCs w:val="30"/>
        </w:rPr>
      </w:pPr>
      <w:r>
        <w:rPr>
          <w:rFonts w:hint="eastAsia" w:ascii="宋体" w:hAnsi="宋体" w:eastAsia="宋体" w:cs="宋体"/>
          <w:sz w:val="30"/>
          <w:szCs w:val="30"/>
        </w:rPr>
        <w:t>（二）机构职能。</w:t>
      </w:r>
    </w:p>
    <w:p>
      <w:pPr>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双江口镇人民政府是基层政府机关，工作职责是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spacing w:after="100" w:afterAutospacing="1" w:line="435" w:lineRule="atLeast"/>
        <w:ind w:right="3872"/>
        <w:textAlignment w:val="center"/>
        <w:rPr>
          <w:rFonts w:hint="eastAsia" w:ascii="宋体" w:hAnsi="宋体" w:eastAsia="宋体" w:cs="宋体"/>
          <w:color w:val="333333"/>
          <w:sz w:val="30"/>
          <w:szCs w:val="30"/>
        </w:rPr>
      </w:pPr>
      <w:r>
        <w:rPr>
          <w:rFonts w:hint="eastAsia" w:ascii="宋体" w:hAnsi="宋体" w:eastAsia="宋体" w:cs="宋体"/>
          <w:sz w:val="30"/>
          <w:szCs w:val="30"/>
        </w:rPr>
        <w:t>（三）</w:t>
      </w:r>
      <w:r>
        <w:rPr>
          <w:rFonts w:hint="eastAsia" w:ascii="宋体" w:hAnsi="宋体" w:eastAsia="宋体" w:cs="宋体"/>
          <w:color w:val="333333"/>
          <w:sz w:val="30"/>
          <w:szCs w:val="30"/>
        </w:rPr>
        <w:t>当年主要成绩</w:t>
      </w:r>
    </w:p>
    <w:p>
      <w:pPr>
        <w:pStyle w:val="2"/>
        <w:spacing w:before="0" w:beforeAutospacing="0" w:after="0" w:afterAutospacing="0" w:line="480" w:lineRule="auto"/>
        <w:ind w:firstLine="750" w:firstLineChars="250"/>
        <w:jc w:val="both"/>
        <w:textAlignment w:val="center"/>
        <w:rPr>
          <w:rFonts w:hint="eastAsia" w:ascii="宋体" w:hAnsi="宋体" w:eastAsia="宋体" w:cs="宋体"/>
          <w:color w:val="333333"/>
          <w:sz w:val="30"/>
          <w:szCs w:val="30"/>
        </w:rPr>
      </w:pPr>
      <w:r>
        <w:rPr>
          <w:rFonts w:hint="eastAsia" w:ascii="宋体" w:hAnsi="宋体" w:eastAsia="宋体" w:cs="宋体"/>
          <w:color w:val="333333"/>
          <w:sz w:val="30"/>
          <w:szCs w:val="30"/>
        </w:rPr>
        <w:t>加快乡村振兴及产业强镇项目建设，争取引进实力雄厚，前景良好，经济效益和社会效益并重的好项目、大项目在我镇落地生根，推动镇域经济快速发展，形成一轴、两带、三区发展模式。一轴：以金朱公路综合发展为轴（以金朱公路为依托，打造串联双江口和朱良桥主要产业区，为双江口乡村振兴的主要功能轴）；两带：以沩水河景观带（以沩水及白玉河为本底，结合水体治理，改善岸线及两侧景观风貌，打造特色景观带）；六十里长冲河特色产业经济发展带（以宁朱公路及长冲河为基础，串联西部各村，发展稻虾、养龟等综合养殖及花卉苗木种植等特色产业，带动西部产业振兴）；三区：以东部优质稻农业产业区（以优质稻为主的现代农业种植区），中部生态综合农业发展区（以奶牛、牧草、有机蔬菜为主的综合农业产业区），长兴片区（以农产品加工、交易、物流为主的产业区）。突出服务质量。认定期深入建设工地排查项目建设和企业发展中存在的困难和问题，营造优良的政务环境促进镇域经济快速发展。突出城乡管理。建立专管责任制，全面推行“河长”制、“路长”制、“片长”制，实行网格化管理。建立严管奖惩制，推进“百姓城管”工作，充分发挥人民群众在集镇管理中的主体作用。突出特色小镇。系统推进旅游与产业发展、乡风文明、生态保护、环境治理、公共建设的深度融合，建设产业兴旺、生态宜居、乡风文明、治理有效、生活富裕的新农村。发展特色元素，打造智慧物流小镇。做大物流平台，探索物流发展与商贸旅游相结合，以大河西农产品物流中心为核心，加快花卉、水产、苗木等市场的建设，进一步完善市场集群，坚持政企商农联手共建，推动商贸旅游大突破；三是丰富观光元素，打造旅游观光小镇。加快奶牛公园建设，着力打造现代生态乳业产业园、现代科技产业园、现代农业文化体验产业园三大板块，挖掘当地民风民情民俗特色，开发特色农家乐与乡村民俗旅游。</w:t>
      </w:r>
    </w:p>
    <w:p>
      <w:pPr>
        <w:spacing w:after="100" w:afterAutospacing="1"/>
        <w:textAlignment w:val="center"/>
        <w:rPr>
          <w:rFonts w:hint="eastAsia" w:ascii="宋体" w:hAnsi="宋体" w:eastAsia="宋体" w:cs="宋体"/>
          <w:sz w:val="30"/>
          <w:szCs w:val="30"/>
        </w:rPr>
      </w:pPr>
      <w:r>
        <w:rPr>
          <w:rFonts w:hint="eastAsia" w:ascii="宋体" w:hAnsi="宋体" w:eastAsia="宋体" w:cs="宋体"/>
          <w:sz w:val="30"/>
          <w:szCs w:val="30"/>
        </w:rPr>
        <w:t>（四）2021年整体支出情况</w:t>
      </w:r>
    </w:p>
    <w:p>
      <w:pPr>
        <w:ind w:firstLine="600" w:firstLineChars="200"/>
        <w:rPr>
          <w:rFonts w:hint="eastAsia" w:ascii="宋体" w:hAnsi="宋体" w:eastAsia="宋体" w:cs="宋体"/>
          <w:color w:val="333333"/>
          <w:kern w:val="0"/>
          <w:sz w:val="30"/>
          <w:szCs w:val="30"/>
          <w:lang w:val="en-US" w:eastAsia="zh-CN" w:bidi="ar-SA"/>
        </w:rPr>
      </w:pPr>
      <w:r>
        <w:rPr>
          <w:rFonts w:hint="eastAsia" w:ascii="宋体" w:hAnsi="宋体" w:eastAsia="宋体" w:cs="宋体"/>
          <w:color w:val="333333"/>
          <w:kern w:val="0"/>
          <w:sz w:val="30"/>
          <w:szCs w:val="30"/>
          <w:lang w:val="en-US" w:eastAsia="zh-CN" w:bidi="ar-SA"/>
        </w:rPr>
        <w:t>2021年我镇支出决算数为14,196.97万元财政拨款收入7,485.19万元, 占52.72%;政府性基金2,542.60万元占17.91%，国有资本经营收入0.99万元占0.01%上级补助收入0万元，占0%;事业收入0万元，占0%;经营收入0万元，占0%;附属单位上缴 收入0万元，占0%;其他收入4,168.18万元，占29.36%。基本支出3,646.73万元，占 25.69%;项目支出10,550.24万元，占74.31%</w:t>
      </w:r>
    </w:p>
    <w:p>
      <w:pPr>
        <w:ind w:firstLine="151" w:firstLineChars="50"/>
        <w:jc w:val="both"/>
        <w:rPr>
          <w:rFonts w:hint="eastAsia" w:ascii="宋体" w:hAnsi="宋体" w:eastAsia="宋体" w:cs="宋体"/>
          <w:b/>
          <w:bCs/>
          <w:sz w:val="30"/>
          <w:szCs w:val="30"/>
        </w:rPr>
      </w:pPr>
      <w:r>
        <w:rPr>
          <w:rFonts w:hint="eastAsia" w:ascii="宋体" w:hAnsi="宋体" w:eastAsia="宋体" w:cs="宋体"/>
          <w:b/>
          <w:bCs/>
          <w:sz w:val="30"/>
          <w:szCs w:val="30"/>
        </w:rPr>
        <w:t>二、部门整体支出管理及使用情况</w:t>
      </w:r>
    </w:p>
    <w:p>
      <w:pPr>
        <w:rPr>
          <w:rFonts w:hint="eastAsia" w:ascii="宋体" w:hAnsi="宋体" w:eastAsia="宋体" w:cs="宋体"/>
          <w:sz w:val="30"/>
          <w:szCs w:val="30"/>
        </w:rPr>
      </w:pPr>
      <w:r>
        <w:rPr>
          <w:rFonts w:hint="eastAsia" w:ascii="宋体" w:hAnsi="宋体" w:eastAsia="宋体" w:cs="宋体"/>
          <w:sz w:val="30"/>
          <w:szCs w:val="30"/>
        </w:rPr>
        <w:t>（一）基本支出</w:t>
      </w:r>
    </w:p>
    <w:p>
      <w:pPr>
        <w:rPr>
          <w:rFonts w:hint="eastAsia" w:ascii="宋体" w:hAnsi="宋体" w:eastAsia="宋体" w:cs="宋体"/>
          <w:sz w:val="30"/>
          <w:szCs w:val="30"/>
        </w:rPr>
      </w:pPr>
      <w:r>
        <w:rPr>
          <w:rFonts w:hint="eastAsia" w:ascii="宋体" w:hAnsi="宋体" w:eastAsia="宋体" w:cs="宋体"/>
          <w:sz w:val="30"/>
          <w:szCs w:val="30"/>
        </w:rPr>
        <w:t xml:space="preserve">1、基本支出整体情况 </w:t>
      </w:r>
    </w:p>
    <w:p>
      <w:pPr>
        <w:rPr>
          <w:rFonts w:hint="eastAsia" w:ascii="宋体" w:hAnsi="宋体" w:eastAsia="宋体" w:cs="宋体"/>
          <w:sz w:val="30"/>
          <w:szCs w:val="30"/>
        </w:rPr>
      </w:pPr>
      <w:r>
        <w:rPr>
          <w:rFonts w:hint="eastAsia" w:ascii="宋体" w:hAnsi="宋体" w:eastAsia="宋体" w:cs="宋体"/>
          <w:sz w:val="30"/>
          <w:szCs w:val="30"/>
        </w:rPr>
        <w:t xml:space="preserve">    基本支出是指为保障单位机构正常运转、完成目常工作任务而发生的各项支出，包括用于基本工资、津贴补贴等人员经费以及办公费、印刷费、水电费、办公设备购置等日常公用经费。2021年基本支出3,646.73万元，其中，人员经费3,236.62万元，公用经费410.11万元。</w:t>
      </w:r>
    </w:p>
    <w:p>
      <w:pPr>
        <w:rPr>
          <w:rFonts w:hint="eastAsia" w:ascii="宋体" w:hAnsi="宋体" w:eastAsia="宋体" w:cs="宋体"/>
          <w:sz w:val="30"/>
          <w:szCs w:val="30"/>
        </w:rPr>
      </w:pPr>
      <w:r>
        <w:rPr>
          <w:rFonts w:hint="eastAsia" w:ascii="宋体" w:hAnsi="宋体" w:eastAsia="宋体" w:cs="宋体"/>
          <w:sz w:val="30"/>
          <w:szCs w:val="30"/>
        </w:rPr>
        <w:t>2、“三公”经费管理</w:t>
      </w:r>
    </w:p>
    <w:p>
      <w:pPr>
        <w:ind w:firstLine="600" w:firstLineChars="200"/>
        <w:jc w:val="both"/>
        <w:rPr>
          <w:rFonts w:hint="eastAsia" w:ascii="宋体" w:hAnsi="宋体" w:eastAsia="宋体" w:cs="宋体"/>
          <w:sz w:val="30"/>
          <w:szCs w:val="30"/>
        </w:rPr>
      </w:pPr>
      <w:r>
        <w:rPr>
          <w:rFonts w:hint="eastAsia" w:ascii="宋体" w:hAnsi="宋体" w:eastAsia="宋体" w:cs="宋体"/>
          <w:sz w:val="30"/>
          <w:szCs w:val="30"/>
        </w:rPr>
        <w:t xml:space="preserve"> 2021年度“三公”经费财政拨款支出决算中，公务接待费支出决算5.8万元，占45.45%,因公出国（境）费支出决算0 万元，占0%,公务用车购置费及运行维护费支出决算6.97 万元，占54.55%。其中：</w:t>
      </w:r>
    </w:p>
    <w:p>
      <w:pPr>
        <w:pStyle w:val="7"/>
        <w:spacing w:line="6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具体分项说明如下：</w:t>
      </w:r>
    </w:p>
    <w:p>
      <w:pPr>
        <w:pStyle w:val="7"/>
        <w:numPr>
          <w:numId w:val="0"/>
        </w:numPr>
        <w:spacing w:line="600" w:lineRule="exact"/>
        <w:ind w:left="600" w:leftChars="0"/>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rPr>
        <w:t xml:space="preserve">公务接待费支出预算5.8万元，支出决算为5.5.8 万元。 </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(2).因公出国（境）经费</w:t>
      </w:r>
    </w:p>
    <w:p>
      <w:pPr>
        <w:rPr>
          <w:rFonts w:hint="eastAsia" w:ascii="宋体" w:hAnsi="宋体" w:eastAsia="宋体" w:cs="宋体"/>
          <w:sz w:val="30"/>
          <w:szCs w:val="30"/>
        </w:rPr>
      </w:pPr>
      <w:r>
        <w:rPr>
          <w:rFonts w:hint="eastAsia" w:ascii="宋体" w:hAnsi="宋体" w:eastAsia="宋体" w:cs="宋体"/>
          <w:sz w:val="30"/>
          <w:szCs w:val="30"/>
        </w:rPr>
        <w:t xml:space="preserve">     2020年预算安排0万元，决算0万元。</w:t>
      </w:r>
    </w:p>
    <w:p>
      <w:pPr>
        <w:rPr>
          <w:rFonts w:hint="eastAsia" w:ascii="宋体" w:hAnsi="宋体" w:eastAsia="宋体" w:cs="宋体"/>
          <w:sz w:val="30"/>
          <w:szCs w:val="30"/>
        </w:rPr>
      </w:pPr>
      <w:r>
        <w:rPr>
          <w:rFonts w:hint="eastAsia" w:ascii="宋体" w:hAnsi="宋体" w:eastAsia="宋体" w:cs="宋体"/>
          <w:sz w:val="30"/>
          <w:szCs w:val="30"/>
        </w:rPr>
        <w:t>(3).公务用车购置及运行维护费</w:t>
      </w:r>
    </w:p>
    <w:p>
      <w:pPr>
        <w:rPr>
          <w:rFonts w:hint="eastAsia" w:ascii="宋体" w:hAnsi="宋体" w:eastAsia="宋体" w:cs="宋体"/>
          <w:sz w:val="30"/>
          <w:szCs w:val="30"/>
        </w:rPr>
      </w:pPr>
      <w:r>
        <w:rPr>
          <w:rFonts w:hint="eastAsia" w:ascii="宋体" w:hAnsi="宋体" w:eastAsia="宋体" w:cs="宋体"/>
          <w:sz w:val="30"/>
          <w:szCs w:val="30"/>
        </w:rPr>
        <w:t>公务用车购置费及运行维护费支出预算为8万元，支出决算为6.96 万元</w:t>
      </w:r>
      <w:r>
        <w:rPr>
          <w:rFonts w:hint="eastAsia" w:ascii="宋体" w:hAnsi="宋体" w:eastAsia="宋体" w:cs="宋体"/>
          <w:color w:val="000000"/>
          <w:sz w:val="30"/>
          <w:szCs w:val="30"/>
        </w:rPr>
        <w:t>.</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、项目支出支出整体情况</w:t>
      </w:r>
    </w:p>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1、双江口政府为了切实</w:t>
      </w:r>
      <w:r>
        <w:rPr>
          <w:rFonts w:hint="eastAsia" w:ascii="宋体" w:hAnsi="宋体" w:eastAsia="宋体" w:cs="宋体"/>
          <w:sz w:val="30"/>
          <w:szCs w:val="30"/>
          <w:lang w:val="en-US" w:eastAsia="zh-CN"/>
        </w:rPr>
        <w:t>搞好</w:t>
      </w:r>
      <w:r>
        <w:rPr>
          <w:rFonts w:hint="eastAsia" w:ascii="宋体" w:hAnsi="宋体" w:eastAsia="宋体" w:cs="宋体"/>
          <w:sz w:val="30"/>
          <w:szCs w:val="30"/>
        </w:rPr>
        <w:t>专项资金管理，保障资金安全、高效运行，发挥资金使用效益，特制定了一套《项目资金管理办法》，成立了项目资金管理小组，严格监督与执行项目资金批准的使用计划和项目批复资料，加强审计监督，确保项目资金专款专用。2021年度项目支出资金共10,550.24万元，其中财政拨6,734.12万元，其他资金3,816.11万元。</w:t>
      </w:r>
    </w:p>
    <w:p>
      <w:pPr>
        <w:rPr>
          <w:rFonts w:hint="eastAsia" w:ascii="宋体" w:hAnsi="宋体" w:eastAsia="宋体" w:cs="宋体"/>
          <w:sz w:val="30"/>
          <w:szCs w:val="30"/>
        </w:rPr>
      </w:pPr>
      <w:r>
        <w:rPr>
          <w:rFonts w:hint="eastAsia" w:ascii="宋体" w:hAnsi="宋体" w:eastAsia="宋体" w:cs="宋体"/>
          <w:sz w:val="30"/>
          <w:szCs w:val="30"/>
        </w:rPr>
        <w:t>金额单位：万元</w:t>
      </w:r>
    </w:p>
    <w:tbl>
      <w:tblPr>
        <w:tblStyle w:val="3"/>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5"/>
        <w:gridCol w:w="930"/>
        <w:gridCol w:w="1260"/>
        <w:gridCol w:w="885"/>
        <w:gridCol w:w="1065"/>
        <w:gridCol w:w="810"/>
        <w:gridCol w:w="105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w:t>
            </w:r>
          </w:p>
        </w:tc>
        <w:tc>
          <w:tcPr>
            <w:tcW w:w="93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合计</w:t>
            </w:r>
          </w:p>
        </w:tc>
        <w:tc>
          <w:tcPr>
            <w:tcW w:w="126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资金来源</w:t>
            </w:r>
          </w:p>
        </w:tc>
        <w:tc>
          <w:tcPr>
            <w:tcW w:w="88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06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81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支出数</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99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93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财政拨款</w:t>
            </w:r>
          </w:p>
        </w:tc>
        <w:tc>
          <w:tcPr>
            <w:tcW w:w="88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06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其他资金</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合计</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财政拨款</w:t>
            </w:r>
          </w:p>
        </w:tc>
        <w:tc>
          <w:tcPr>
            <w:tcW w:w="99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187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93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小计</w:t>
            </w:r>
          </w:p>
        </w:tc>
        <w:tc>
          <w:tcPr>
            <w:tcW w:w="88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其中：基本建设支出拨款</w:t>
            </w:r>
          </w:p>
        </w:tc>
        <w:tc>
          <w:tcPr>
            <w:tcW w:w="106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81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05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99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87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93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26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88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06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81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105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99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93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eastAsia="微软雅黑"/>
                <w:color w:val="000000"/>
                <w:sz w:val="22"/>
                <w:szCs w:val="24"/>
                <w:lang w:eastAsia="zh-CN"/>
              </w:rPr>
            </w:pPr>
            <w:r>
              <w:rPr>
                <w:rFonts w:hint="eastAsia" w:ascii="宋体" w:hAnsi="宋体"/>
                <w:color w:val="000000"/>
                <w:sz w:val="22"/>
                <w:szCs w:val="24"/>
                <w:lang w:val="en-US" w:eastAsia="zh-CN"/>
              </w:rPr>
              <w:t>1</w:t>
            </w:r>
          </w:p>
        </w:tc>
        <w:tc>
          <w:tcPr>
            <w:tcW w:w="126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eastAsia="微软雅黑"/>
                <w:color w:val="000000"/>
                <w:sz w:val="22"/>
                <w:szCs w:val="24"/>
                <w:lang w:eastAsia="zh-CN"/>
              </w:rPr>
            </w:pPr>
            <w:r>
              <w:rPr>
                <w:rFonts w:hint="eastAsia" w:ascii="宋体" w:hAnsi="宋体"/>
                <w:color w:val="000000"/>
                <w:sz w:val="22"/>
                <w:szCs w:val="24"/>
                <w:lang w:val="en-US" w:eastAsia="zh-CN"/>
              </w:rPr>
              <w:t>2</w:t>
            </w:r>
          </w:p>
        </w:tc>
        <w:tc>
          <w:tcPr>
            <w:tcW w:w="88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eastAsia="微软雅黑"/>
                <w:color w:val="000000"/>
                <w:sz w:val="22"/>
                <w:szCs w:val="24"/>
                <w:lang w:eastAsia="zh-CN"/>
              </w:rPr>
            </w:pPr>
            <w:r>
              <w:rPr>
                <w:rFonts w:hint="eastAsia" w:ascii="宋体" w:hAnsi="宋体"/>
                <w:color w:val="000000"/>
                <w:sz w:val="22"/>
                <w:szCs w:val="24"/>
                <w:lang w:val="en-US" w:eastAsia="zh-CN"/>
              </w:rPr>
              <w:t>3</w:t>
            </w:r>
          </w:p>
        </w:tc>
        <w:tc>
          <w:tcPr>
            <w:tcW w:w="1065"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eastAsia="微软雅黑"/>
                <w:color w:val="000000"/>
                <w:sz w:val="22"/>
                <w:szCs w:val="24"/>
                <w:lang w:eastAsia="zh-CN"/>
              </w:rPr>
            </w:pPr>
            <w:r>
              <w:rPr>
                <w:rFonts w:hint="eastAsia" w:ascii="宋体" w:hAnsi="宋体"/>
                <w:color w:val="000000"/>
                <w:sz w:val="22"/>
                <w:szCs w:val="24"/>
                <w:lang w:val="en-US" w:eastAsia="zh-CN"/>
              </w:rPr>
              <w:t>4</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eastAsia="微软雅黑"/>
                <w:color w:val="000000"/>
                <w:sz w:val="22"/>
                <w:szCs w:val="24"/>
                <w:lang w:eastAsia="zh-CN"/>
              </w:rPr>
            </w:pPr>
            <w:r>
              <w:rPr>
                <w:rFonts w:hint="eastAsia" w:ascii="宋体" w:hAnsi="宋体"/>
                <w:color w:val="000000"/>
                <w:sz w:val="22"/>
                <w:szCs w:val="24"/>
                <w:lang w:val="en-US" w:eastAsia="zh-CN"/>
              </w:rPr>
              <w:t>5</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C0C0C0" w:fill="FFFFFF"/>
            <w:noWrap w:val="0"/>
            <w:vAlign w:val="top"/>
          </w:tcPr>
          <w:p>
            <w:pPr>
              <w:spacing w:beforeLines="0" w:afterLines="0"/>
              <w:jc w:val="center"/>
              <w:rPr>
                <w:rFonts w:hint="eastAsia" w:ascii="宋体" w:hAnsi="宋体" w:eastAsia="微软雅黑"/>
                <w:color w:val="000000"/>
                <w:sz w:val="22"/>
                <w:szCs w:val="24"/>
                <w:lang w:eastAsia="zh-CN"/>
              </w:rPr>
            </w:pPr>
            <w:r>
              <w:rPr>
                <w:rFonts w:hint="eastAsia" w:ascii="宋体" w:hAnsi="宋体"/>
                <w:color w:val="000000"/>
                <w:sz w:val="22"/>
                <w:szCs w:val="24"/>
                <w:lang w:val="en-US" w:eastAsia="zh-CN"/>
              </w:rPr>
              <w:t>6</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Arial" w:hAnsi="Arial" w:eastAsia="微软雅黑"/>
                <w:color w:val="000000"/>
                <w:sz w:val="20"/>
                <w:szCs w:val="24"/>
                <w:lang w:val="en-US" w:eastAsia="zh-CN"/>
              </w:rPr>
            </w:pPr>
            <w:r>
              <w:rPr>
                <w:rFonts w:hint="eastAsia" w:ascii="Arial" w:hAnsi="Arial"/>
                <w:color w:val="000000"/>
                <w:sz w:val="20"/>
                <w:szCs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一般公共服务支出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811.21</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375.61</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435.60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811.21</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375.61</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435.60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国防支出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公共安全支出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13.49</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13.49</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13.49</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13.49</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教育支出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335.65</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198.43</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137.22</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335.65</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198.43</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137.22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文化旅游体育与传媒支出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50.02</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44.00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6.02</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50.02</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44.00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社会保障和就业支出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364.89</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288.52</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76.37</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364.89</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288.52</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卫生健康支出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46.57</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44.63</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1.94</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46.57</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44.63</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节能环保支出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920.44</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170.80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749.64</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920.44</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170.80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749.64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城乡社区支出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2,846.12</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2,519.60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326.52</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2,846.12</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2,519.60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326.52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农林水支出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4,788.44</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2,987.67</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168.90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1,800.77</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4,788.44</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2,987.67</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1,800.77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交通运输支出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316.05</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266.05</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316.05</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50.00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266.05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商业服务业等支出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7.37</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7.37</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7.37</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7.37</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自然资源海洋气象等支出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国有资本经营预算支出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0.99</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0.99</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0.99</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0.99</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灾害防治及应急管理支出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20.00</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20.00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其他支出</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22.00</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8.00</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14.00</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22.00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8.00</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7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szCs w:val="24"/>
              </w:rPr>
            </w:pPr>
            <w:r>
              <w:rPr>
                <w:rFonts w:hint="eastAsia" w:ascii="宋体" w:hAnsi="宋体"/>
                <w:color w:val="000000"/>
                <w:sz w:val="20"/>
                <w:szCs w:val="24"/>
              </w:rPr>
              <w:t>合计</w:t>
            </w:r>
          </w:p>
        </w:tc>
        <w:tc>
          <w:tcPr>
            <w:tcW w:w="9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default" w:ascii="Arial" w:hAnsi="Arial"/>
                <w:color w:val="000000"/>
                <w:sz w:val="20"/>
                <w:szCs w:val="24"/>
              </w:rPr>
            </w:pPr>
            <w:r>
              <w:rPr>
                <w:rFonts w:hint="default" w:ascii="Arial" w:hAnsi="Arial"/>
                <w:color w:val="000000"/>
                <w:sz w:val="20"/>
                <w:szCs w:val="24"/>
              </w:rPr>
              <w:t>10550.24</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default" w:ascii="Arial" w:hAnsi="Arial"/>
                <w:color w:val="000000"/>
                <w:sz w:val="20"/>
                <w:szCs w:val="24"/>
              </w:rPr>
            </w:pPr>
            <w:r>
              <w:rPr>
                <w:rFonts w:hint="default" w:ascii="Arial" w:hAnsi="Arial"/>
                <w:color w:val="000000"/>
                <w:sz w:val="20"/>
                <w:szCs w:val="24"/>
              </w:rPr>
              <w:t>6734.11</w:t>
            </w:r>
          </w:p>
        </w:tc>
        <w:tc>
          <w:tcPr>
            <w:tcW w:w="8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default" w:ascii="Arial" w:hAnsi="Arial"/>
                <w:color w:val="000000"/>
                <w:sz w:val="20"/>
                <w:szCs w:val="24"/>
              </w:rPr>
            </w:pPr>
            <w:r>
              <w:rPr>
                <w:rFonts w:hint="default" w:ascii="Arial" w:hAnsi="Arial"/>
                <w:color w:val="000000"/>
                <w:sz w:val="20"/>
                <w:szCs w:val="24"/>
              </w:rPr>
              <w:t>168.9</w:t>
            </w:r>
          </w:p>
        </w:tc>
        <w:tc>
          <w:tcPr>
            <w:tcW w:w="106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default" w:ascii="Arial" w:hAnsi="Arial"/>
                <w:color w:val="000000"/>
                <w:sz w:val="20"/>
                <w:szCs w:val="24"/>
              </w:rPr>
            </w:pPr>
            <w:r>
              <w:rPr>
                <w:rFonts w:hint="default" w:ascii="Arial" w:hAnsi="Arial"/>
                <w:color w:val="000000"/>
                <w:sz w:val="20"/>
                <w:szCs w:val="24"/>
              </w:rPr>
              <w:t>3816.13</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default" w:ascii="Arial" w:hAnsi="Arial"/>
                <w:color w:val="000000"/>
                <w:sz w:val="20"/>
                <w:szCs w:val="24"/>
              </w:rPr>
            </w:pPr>
            <w:r>
              <w:rPr>
                <w:rFonts w:hint="default" w:ascii="Arial" w:hAnsi="Arial"/>
                <w:color w:val="000000"/>
                <w:sz w:val="20"/>
                <w:szCs w:val="24"/>
              </w:rPr>
              <w:t>10550.24</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default" w:ascii="Arial" w:hAnsi="Arial"/>
                <w:color w:val="000000"/>
                <w:sz w:val="20"/>
                <w:szCs w:val="24"/>
              </w:rPr>
            </w:pPr>
            <w:r>
              <w:rPr>
                <w:rFonts w:hint="default" w:ascii="Arial" w:hAnsi="Arial"/>
                <w:color w:val="000000"/>
                <w:sz w:val="20"/>
                <w:szCs w:val="24"/>
              </w:rPr>
              <w:t>6734.11</w:t>
            </w:r>
          </w:p>
        </w:tc>
        <w:tc>
          <w:tcPr>
            <w:tcW w:w="9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default" w:ascii="Arial" w:hAnsi="Arial"/>
                <w:color w:val="000000"/>
                <w:sz w:val="20"/>
                <w:szCs w:val="24"/>
              </w:rPr>
            </w:pPr>
            <w:r>
              <w:rPr>
                <w:rFonts w:hint="default" w:ascii="Arial" w:hAnsi="Arial"/>
                <w:color w:val="000000"/>
                <w:sz w:val="20"/>
                <w:szCs w:val="24"/>
              </w:rPr>
              <w:t>3816.13</w:t>
            </w:r>
          </w:p>
        </w:tc>
      </w:tr>
    </w:tbl>
    <w:p>
      <w:pPr>
        <w:rPr>
          <w:rFonts w:hint="eastAsia" w:ascii="宋体" w:hAnsi="宋体" w:eastAsia="宋体" w:cs="宋体"/>
          <w:sz w:val="30"/>
          <w:szCs w:val="30"/>
        </w:rPr>
      </w:pPr>
    </w:p>
    <w:p>
      <w:pPr>
        <w:wordWrap w:val="0"/>
        <w:spacing w:before="190" w:beforeAutospacing="0"/>
        <w:ind w:right="148"/>
        <w:jc w:val="right"/>
        <w:rPr>
          <w:rFonts w:hint="eastAsia" w:ascii="宋体" w:hAnsi="宋体" w:eastAsia="宋体" w:cs="宋体"/>
          <w:sz w:val="30"/>
          <w:szCs w:val="30"/>
        </w:rPr>
      </w:pPr>
    </w:p>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2、项目资金全部按要求及项目建设进度落实到位。项目全程监管，按上级及项目要求推进项目实施。其中部分重点支出项目支出完成情况列示如下表：</w:t>
      </w:r>
    </w:p>
    <w:p>
      <w:pPr>
        <w:spacing w:line="300" w:lineRule="auto"/>
        <w:ind w:firstLine="600" w:firstLineChars="200"/>
        <w:jc w:val="right"/>
        <w:rPr>
          <w:rFonts w:hint="eastAsia" w:ascii="宋体" w:hAnsi="宋体" w:eastAsia="宋体" w:cs="宋体"/>
          <w:sz w:val="30"/>
          <w:szCs w:val="30"/>
        </w:rPr>
      </w:pPr>
      <w:r>
        <w:rPr>
          <w:rFonts w:hint="eastAsia" w:ascii="宋体" w:hAnsi="宋体" w:eastAsia="宋体" w:cs="宋体"/>
          <w:sz w:val="30"/>
          <w:szCs w:val="30"/>
        </w:rPr>
        <w:t>金额单位：万元</w:t>
      </w:r>
    </w:p>
    <w:tbl>
      <w:tblPr>
        <w:tblStyle w:val="3"/>
        <w:tblW w:w="9570" w:type="dxa"/>
        <w:tblInd w:w="-5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2"/>
        <w:gridCol w:w="2261"/>
        <w:gridCol w:w="1037"/>
        <w:gridCol w:w="3625"/>
        <w:gridCol w:w="999"/>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序号</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项目名称</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投入资金</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项目资金使用情况</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竣工验收情况</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c>
          <w:tcPr>
            <w:tcW w:w="2261"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c>
          <w:tcPr>
            <w:tcW w:w="1037" w:type="dxa"/>
            <w:tcBorders>
              <w:top w:val="single" w:color="000000" w:sz="4" w:space="0"/>
              <w:left w:val="single" w:color="000000" w:sz="4" w:space="0"/>
              <w:bottom w:val="single" w:color="000000" w:sz="4" w:space="0"/>
              <w:right w:val="single" w:color="000000" w:sz="4" w:space="0"/>
            </w:tcBorders>
          </w:tcPr>
          <w:p>
            <w:pPr>
              <w:pStyle w:val="6"/>
              <w:spacing w:before="212"/>
              <w:ind w:left="277" w:right="267"/>
              <w:rPr>
                <w:rFonts w:hint="eastAsia" w:ascii="宋体" w:hAnsi="宋体" w:eastAsia="宋体" w:cs="宋体"/>
                <w:kern w:val="2"/>
                <w:sz w:val="30"/>
                <w:szCs w:val="30"/>
              </w:rPr>
            </w:pPr>
          </w:p>
        </w:tc>
        <w:tc>
          <w:tcPr>
            <w:tcW w:w="3625"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c>
          <w:tcPr>
            <w:tcW w:w="999" w:type="dxa"/>
            <w:tcBorders>
              <w:top w:val="single" w:color="000000" w:sz="4" w:space="0"/>
              <w:left w:val="single" w:color="000000" w:sz="4" w:space="0"/>
              <w:bottom w:val="single" w:color="000000" w:sz="4" w:space="0"/>
              <w:right w:val="single" w:color="000000" w:sz="4" w:space="0"/>
            </w:tcBorders>
          </w:tcPr>
          <w:p>
            <w:pPr>
              <w:pStyle w:val="6"/>
              <w:spacing w:before="212"/>
              <w:ind w:left="197" w:right="187"/>
              <w:rPr>
                <w:rFonts w:hint="eastAsia" w:ascii="宋体" w:hAnsi="宋体" w:eastAsia="宋体" w:cs="宋体"/>
                <w:kern w:val="2"/>
                <w:sz w:val="30"/>
                <w:szCs w:val="30"/>
              </w:rPr>
            </w:pPr>
          </w:p>
        </w:tc>
        <w:tc>
          <w:tcPr>
            <w:tcW w:w="876"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c>
          <w:tcPr>
            <w:tcW w:w="2261"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c>
          <w:tcPr>
            <w:tcW w:w="1037" w:type="dxa"/>
            <w:tcBorders>
              <w:top w:val="single" w:color="000000" w:sz="4" w:space="0"/>
              <w:left w:val="single" w:color="000000" w:sz="4" w:space="0"/>
              <w:bottom w:val="single" w:color="000000" w:sz="4" w:space="0"/>
              <w:right w:val="single" w:color="000000" w:sz="4" w:space="0"/>
            </w:tcBorders>
          </w:tcPr>
          <w:p>
            <w:pPr>
              <w:pStyle w:val="6"/>
              <w:spacing w:before="212"/>
              <w:ind w:left="277" w:right="267"/>
              <w:rPr>
                <w:rFonts w:hint="eastAsia" w:ascii="宋体" w:hAnsi="宋体" w:eastAsia="宋体" w:cs="宋体"/>
                <w:kern w:val="2"/>
                <w:sz w:val="30"/>
                <w:szCs w:val="30"/>
              </w:rPr>
            </w:pPr>
          </w:p>
        </w:tc>
        <w:tc>
          <w:tcPr>
            <w:tcW w:w="3625"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c>
          <w:tcPr>
            <w:tcW w:w="999" w:type="dxa"/>
            <w:tcBorders>
              <w:top w:val="single" w:color="000000" w:sz="4" w:space="0"/>
              <w:left w:val="single" w:color="000000" w:sz="4" w:space="0"/>
              <w:bottom w:val="single" w:color="000000" w:sz="4" w:space="0"/>
              <w:right w:val="single" w:color="000000" w:sz="4" w:space="0"/>
            </w:tcBorders>
          </w:tcPr>
          <w:p>
            <w:pPr>
              <w:pStyle w:val="6"/>
              <w:spacing w:before="212"/>
              <w:ind w:left="197" w:right="187"/>
              <w:rPr>
                <w:rFonts w:hint="eastAsia" w:ascii="宋体" w:hAnsi="宋体" w:eastAsia="宋体" w:cs="宋体"/>
                <w:kern w:val="2"/>
                <w:sz w:val="30"/>
                <w:szCs w:val="30"/>
              </w:rPr>
            </w:pPr>
          </w:p>
        </w:tc>
        <w:tc>
          <w:tcPr>
            <w:tcW w:w="876" w:type="dxa"/>
            <w:tcBorders>
              <w:top w:val="single" w:color="000000" w:sz="4" w:space="0"/>
              <w:left w:val="single" w:color="000000" w:sz="4" w:space="0"/>
              <w:bottom w:val="single" w:color="000000" w:sz="4" w:space="0"/>
              <w:right w:val="single" w:color="000000" w:sz="4" w:space="0"/>
            </w:tcBorders>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一般公共服务支出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811.21</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完成党建、文明创建等工作</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2</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国防支出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5.00</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国防教育</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3</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公共安全支出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13.49</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社会治安</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4</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教育支出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335.65</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对学校的维修及改建。</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5</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文化旅游体育与传媒支出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50.02</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农技站文化站建设</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6</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社会保障和就业支出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364.89</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社会保险基金补助、行政事业单</w:t>
            </w:r>
            <w:r>
              <w:rPr>
                <w:rFonts w:hint="eastAsia" w:ascii="宋体" w:hAnsi="宋体" w:eastAsia="宋体" w:cs="宋体"/>
                <w:kern w:val="2"/>
                <w:sz w:val="30"/>
                <w:szCs w:val="30"/>
              </w:rPr>
              <w:br w:type="textWrapping"/>
            </w:r>
            <w:r>
              <w:rPr>
                <w:rFonts w:hint="eastAsia" w:ascii="宋体" w:hAnsi="宋体" w:eastAsia="宋体" w:cs="宋体"/>
                <w:kern w:val="2"/>
                <w:sz w:val="30"/>
                <w:szCs w:val="30"/>
              </w:rPr>
              <w:t>位离退休、就业补助、低保特困村民最低生活保障、农村最低生</w:t>
            </w:r>
            <w:r>
              <w:rPr>
                <w:rFonts w:hint="eastAsia" w:ascii="宋体" w:hAnsi="宋体" w:eastAsia="宋体" w:cs="宋体"/>
                <w:kern w:val="2"/>
                <w:sz w:val="30"/>
                <w:szCs w:val="30"/>
              </w:rPr>
              <w:br w:type="textWrapping"/>
            </w:r>
            <w:r>
              <w:rPr>
                <w:rFonts w:hint="eastAsia" w:ascii="宋体" w:hAnsi="宋体" w:eastAsia="宋体" w:cs="宋体"/>
                <w:kern w:val="2"/>
                <w:sz w:val="30"/>
                <w:szCs w:val="30"/>
              </w:rPr>
              <w:t>活保障、自然灾害生活救助支出</w:t>
            </w:r>
            <w:r>
              <w:rPr>
                <w:rFonts w:hint="eastAsia" w:ascii="宋体" w:hAnsi="宋体" w:eastAsia="宋体" w:cs="宋体"/>
                <w:kern w:val="2"/>
                <w:sz w:val="30"/>
                <w:szCs w:val="30"/>
              </w:rPr>
              <w:br w:type="textWrapping"/>
            </w:r>
            <w:r>
              <w:rPr>
                <w:rFonts w:hint="eastAsia" w:ascii="宋体" w:hAnsi="宋体" w:eastAsia="宋体" w:cs="宋体"/>
                <w:kern w:val="2"/>
                <w:sz w:val="30"/>
                <w:szCs w:val="30"/>
              </w:rPr>
              <w:t>等。</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7</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卫生健康支出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46.57</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 xml:space="preserve">卫生院维修改造 </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8</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节能环保支出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920.44</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镇污水厂建设</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9</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城乡社区支出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2,846.12</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提升 17 个村、社区人居环境，完善集镇及周边污水管网建设。</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10</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农林水支出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4,788.44</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对镇域内的河流周围除杂、河道</w:t>
            </w:r>
            <w:r>
              <w:rPr>
                <w:rFonts w:hint="eastAsia" w:ascii="宋体" w:hAnsi="宋体" w:eastAsia="宋体" w:cs="宋体"/>
                <w:kern w:val="2"/>
                <w:sz w:val="30"/>
                <w:szCs w:val="30"/>
              </w:rPr>
              <w:br w:type="textWrapping"/>
            </w:r>
            <w:r>
              <w:rPr>
                <w:rFonts w:hint="eastAsia" w:ascii="宋体" w:hAnsi="宋体" w:eastAsia="宋体" w:cs="宋体"/>
                <w:kern w:val="2"/>
                <w:sz w:val="30"/>
                <w:szCs w:val="30"/>
              </w:rPr>
              <w:t>清淤、护砌及日常维护等。烂泥湖水域治理。</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11</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交通运输支出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316.05</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全镇 17 个村、社区的公路维修及安防设施建设。</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12</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商业服务业等支出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7.37</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农产品质量检验</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13</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自然资源海洋气象等支出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2.00</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气象等支出</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14</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国有资本经营预算支出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0.99</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老年中心设备购置</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15</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灾害防治及应急管理支出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20.00</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抗疫支出</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16</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其他支出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22.00</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抗疫支出</w:t>
            </w: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17</w:t>
            </w:r>
          </w:p>
        </w:tc>
        <w:tc>
          <w:tcPr>
            <w:tcW w:w="2261"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r>
              <w:rPr>
                <w:rFonts w:hint="eastAsia" w:ascii="宋体" w:hAnsi="宋体" w:eastAsia="宋体" w:cs="宋体"/>
                <w:kern w:val="2"/>
                <w:sz w:val="30"/>
                <w:szCs w:val="30"/>
              </w:rPr>
              <w:t>合计</w:t>
            </w:r>
          </w:p>
        </w:tc>
        <w:tc>
          <w:tcPr>
            <w:tcW w:w="1037"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277" w:right="267"/>
              <w:rPr>
                <w:rFonts w:hint="eastAsia" w:ascii="宋体" w:hAnsi="宋体" w:eastAsia="宋体" w:cs="宋体"/>
                <w:kern w:val="2"/>
                <w:sz w:val="30"/>
                <w:szCs w:val="30"/>
              </w:rPr>
            </w:pPr>
            <w:r>
              <w:rPr>
                <w:rFonts w:hint="eastAsia" w:ascii="宋体" w:hAnsi="宋体" w:eastAsia="宋体" w:cs="宋体"/>
                <w:kern w:val="2"/>
                <w:sz w:val="30"/>
                <w:szCs w:val="30"/>
              </w:rPr>
              <w:t>10550.24</w:t>
            </w:r>
          </w:p>
        </w:tc>
        <w:tc>
          <w:tcPr>
            <w:tcW w:w="3625"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212"/>
              <w:ind w:left="197" w:right="187"/>
              <w:rPr>
                <w:rFonts w:hint="eastAsia" w:ascii="宋体" w:hAnsi="宋体" w:eastAsia="宋体" w:cs="宋体"/>
                <w:kern w:val="2"/>
                <w:sz w:val="30"/>
                <w:szCs w:val="30"/>
              </w:rPr>
            </w:pPr>
            <w:r>
              <w:rPr>
                <w:rFonts w:hint="eastAsia" w:ascii="宋体" w:hAnsi="宋体" w:eastAsia="宋体" w:cs="宋体"/>
                <w:kern w:val="2"/>
                <w:sz w:val="30"/>
                <w:szCs w:val="30"/>
              </w:rPr>
              <w:t>已完成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9"/>
              <w:rPr>
                <w:rFonts w:hint="eastAsia" w:ascii="宋体" w:hAnsi="宋体" w:eastAsia="宋体" w:cs="宋体"/>
                <w:kern w:val="2"/>
                <w:sz w:val="30"/>
                <w:szCs w:val="30"/>
              </w:rPr>
            </w:pPr>
          </w:p>
        </w:tc>
      </w:tr>
    </w:tbl>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 xml:space="preserve"> </w:t>
      </w:r>
    </w:p>
    <w:p>
      <w:pPr>
        <w:spacing w:line="300" w:lineRule="auto"/>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三、部门项目组织实施情况</w:t>
      </w:r>
    </w:p>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1、每个项目实施前组建了专业的项目团队，并成立项目领导小组，构建与建设项目的管理和实施相适应的部门和机构，进行明确的管理职能分工和工作任务分工。</w:t>
      </w:r>
    </w:p>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2、采用科学的项目管理办法，建立规范的管理制度和工作流程，严格按照制度和流程来监督实施，项目竣工后，由负责该项目的总负责人或部门进行检查验收。</w:t>
      </w:r>
    </w:p>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3、我镇财政所在宁乡市乡镇财政管理局的领导下，认真遵照《宁乡市乡镇财政资金监管实施办法》，积极开展财政资金监管工作。成立了财政资金监管领导小组，对各种财政资金组织开展督促检查。监管小组成员加强学习、熟练业务，积极开展监管，确保各项目资金的使用符合政策要求并及时到位。不断完善公开程序和方式，便于社会公众参与监督，对各项目资金的管理、使用情况严格实行公示制度，举报电话制度，及时掌握项目资金的群众满意度。积极开展抽查巡查，对每个项目及时做好事前、事中、事后巡查工作，及时开展绩效自评工作，切实做到用钱必有效，无效必问责。根据单位实际情况制定了《双江口镇人民政府2021年机关财务管理制度》，《双江口镇财政资金管理办法》、《双江口镇人民政府关于村级财务管理办法的规定》等制度。年度资金使用过程中不存在违反国家财经法规和财务管理制度规定以及有关专项资金管理办法的规定的情况，资金的拨付具有完整的审批程序和手续，项目的重大开支按照财务管理制度及“三重一大”的要求事前经过评估论证。使用范围符合部门预算批复的用途，不存在截留、挤占、挪用、虚列支出等情况，预决算及“三公”经费信息均按规定时限公开。</w:t>
      </w:r>
    </w:p>
    <w:p>
      <w:pPr>
        <w:spacing w:line="300" w:lineRule="auto"/>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四、资产管理情况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2021年双江口镇政府根据《行政单位国有资产管理暂行管理办法》《双江口镇政府固定资产管理制度》等相关要求，对政府所有固定资产进行了集中清理并登记造册，建立了固定资产管理台账，每项资产张贴了标签，资产数量、规格型号、保管、使用责任人，资产管理清晰明了，责任明确，管理有效，并根据固定资产使用年限和资产实际使用情况向宁乡市国有资产管理部门进行了申报核销处置。。</w:t>
      </w:r>
    </w:p>
    <w:p>
      <w:pPr>
        <w:rPr>
          <w:rFonts w:hint="eastAsia" w:ascii="宋体" w:hAnsi="宋体" w:eastAsia="宋体" w:cs="宋体"/>
          <w:sz w:val="30"/>
          <w:szCs w:val="30"/>
        </w:rPr>
      </w:pPr>
      <w:r>
        <w:rPr>
          <w:rFonts w:hint="eastAsia" w:ascii="宋体" w:hAnsi="宋体" w:eastAsia="宋体" w:cs="宋体"/>
          <w:sz w:val="30"/>
          <w:szCs w:val="30"/>
        </w:rPr>
        <w:t xml:space="preserve">      国有资产管理落实到位，已将所属单位国有资产纳入国有资产系统管理，资产变动情况已及时录入系统，由机关固定资产管理员负责管理系统，做到了账实相符，账账相符。严格落实各项审批程序，没有出现资产流失、资产失控和资产价值非正常贬值消耗等。现对我单位本年度资产管理情况报告如下：</w:t>
      </w:r>
    </w:p>
    <w:p>
      <w:pPr>
        <w:ind w:firstLine="600" w:firstLineChars="200"/>
        <w:rPr>
          <w:rFonts w:hint="eastAsia" w:ascii="宋体" w:hAnsi="宋体" w:eastAsia="宋体" w:cs="宋体"/>
          <w:sz w:val="30"/>
          <w:szCs w:val="30"/>
          <w:lang w:eastAsia="zh-CN"/>
        </w:rPr>
      </w:pPr>
      <w:r>
        <w:rPr>
          <w:rFonts w:hint="eastAsia" w:ascii="宋体" w:hAnsi="宋体" w:eastAsia="宋体" w:cs="宋体"/>
          <w:sz w:val="30"/>
          <w:szCs w:val="30"/>
          <w:lang w:val="en-US" w:eastAsia="zh-CN"/>
        </w:rPr>
        <w:t>1、</w:t>
      </w:r>
      <w:r>
        <w:rPr>
          <w:rFonts w:hint="eastAsia" w:ascii="宋体" w:hAnsi="宋体" w:eastAsia="宋体" w:cs="宋体"/>
          <w:sz w:val="30"/>
          <w:szCs w:val="30"/>
        </w:rPr>
        <w:t>截止到2021年底，我镇固定资产总额3902.85万元，其中，土地房屋建筑资产为3461.07万元占整个资产总额的88.68%；（其中房屋建筑资产为2897.41万元，占整个资产总额的74.23%）；通用设备219.57万元，占资产总额的5.63%；专用设备55.37万元，占资产总额的1.42%；家具用具166.85万元，占资产总额的4.27%。固定资产利用率100%，无空置、闲置资产</w:t>
      </w:r>
      <w:r>
        <w:rPr>
          <w:rFonts w:hint="eastAsia" w:ascii="宋体" w:hAnsi="宋体" w:eastAsia="宋体" w:cs="宋体"/>
          <w:sz w:val="30"/>
          <w:szCs w:val="30"/>
          <w:lang w:eastAsia="zh-CN"/>
        </w:rPr>
        <w:t>。</w:t>
      </w:r>
    </w:p>
    <w:p>
      <w:pPr>
        <w:keepNext w:val="0"/>
        <w:keepLines w:val="0"/>
        <w:pageBreakBefore w:val="0"/>
        <w:widowControl/>
        <w:kinsoku/>
        <w:wordWrap/>
        <w:overflowPunct/>
        <w:topLinePunct w:val="0"/>
        <w:autoSpaceDE/>
        <w:autoSpaceDN/>
        <w:bidi w:val="0"/>
        <w:adjustRightInd w:val="0"/>
        <w:snapToGrid w:val="0"/>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 xml:space="preserve">  2、2021年度，我镇资产配置情况正常，其中固定资产3902.85万元，计提折旧210.05万元、固定资产净值3692.8万元；在建工程期末为3,150.91万元，相比年初3,150.91万持平；本期无新增出租出借资产及对外投资情况。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3、本单位没有利用国有资产对外投资、出租出借国有资产情况。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4、本单位的资产基本能够满足履行职能的需要，没有空置和浪费现象。</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lang w:val="en-US" w:eastAsia="zh-CN"/>
        </w:rPr>
        <w:t>五、</w:t>
      </w:r>
      <w:r>
        <w:rPr>
          <w:rFonts w:hint="eastAsia" w:ascii="宋体" w:hAnsi="宋体" w:eastAsia="宋体" w:cs="宋体"/>
          <w:b/>
          <w:bCs/>
          <w:sz w:val="30"/>
          <w:szCs w:val="30"/>
        </w:rPr>
        <w:t>整体支出绩效情况</w:t>
      </w:r>
    </w:p>
    <w:p>
      <w:pPr>
        <w:keepNext w:val="0"/>
        <w:keepLines w:val="0"/>
        <w:pageBreakBefore w:val="0"/>
        <w:widowControl/>
        <w:kinsoku/>
        <w:wordWrap/>
        <w:overflowPunct/>
        <w:topLinePunct w:val="0"/>
        <w:autoSpaceDE/>
        <w:autoSpaceDN/>
        <w:bidi w:val="0"/>
        <w:adjustRightInd w:val="0"/>
        <w:snapToGrid w:val="0"/>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根据单位实际情况进行部门绩效管理，按规定组织和开展绩效评价，工作内容包括本部门的自评、完成本部门绩效评价报告与佐证、对各项目都进行了绩效评价，积极加强绩效管理与落实。2021年我镇绩效自评分为95分。通过加强绩效评价工作的指导和督导，提高了资金使用的效率和效益。2021年我镇加强乡村振兴及产业强镇完成养殖示范走</w:t>
      </w:r>
      <w:bookmarkStart w:id="0" w:name="_GoBack"/>
      <w:bookmarkEnd w:id="0"/>
      <w:r>
        <w:rPr>
          <w:rFonts w:hint="eastAsia" w:ascii="宋体" w:hAnsi="宋体" w:eastAsia="宋体" w:cs="宋体"/>
          <w:sz w:val="30"/>
          <w:szCs w:val="30"/>
        </w:rPr>
        <w:t>廊建设、高标准农田建设项目长益复线高速公路建设加快经济发展；落实精准扶贫产业扶贫政策为贫困户脱贫及不返贫提供造血功能；烂泥湖治理项目依上级相关政策进行护洞庭湖区水域安全；建设污水处理厂,加强污水处理,确保生态保护； 进行人居环境及村级公路建设和机关一般事务性项目建设,维持地方经济正常运转，履行单位职责需要。</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eastAsia="宋体" w:cs="宋体"/>
          <w:sz w:val="30"/>
          <w:szCs w:val="30"/>
        </w:rPr>
        <w:t>社会效益</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基础设施建设改善了村民的居住环境，提高了村民的生活质量，让农民充分享受现代文明，促进了生活方式和思想观念的改变。同时，完善的公共基础设施还不断丰富我镇村社的精神文化生活，营造一种和谐的社会环境，促进社会融洽，使广大农民产生社会认同感和归属感，减缓了社会矛盾和冲突。</w:t>
      </w:r>
    </w:p>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生态效益</w:t>
      </w:r>
    </w:p>
    <w:p>
      <w:pPr>
        <w:spacing w:line="30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搞好乡村振兴建设，提高人民群众幸福感。2021年全镇完成15个美丽宜居村庄的建设，并全部通过市级验收标准。伴随着美丽宜居村庄的建设，人居环境提质也在同步进行。平整的沥青路通到村民家门口，无害化厕所替代了原来的旱厕，新建的文化广场成了村民休闲好去处，小微水体改造让家园宜居美如画。硬化、黑化村庄主干道、入户道路，极大地改善了村庄环境和交通状况，遏制了环境污染加剧的趋势，村民环保意识明显提高，生产和生活环境得到了很大的改善，实现了“生产发展、生活宽裕、乡风文明、村容整洁、管理民主”的建设目标，为乡村振兴之路打下了坚实的基础。</w:t>
      </w:r>
    </w:p>
    <w:p>
      <w:pPr>
        <w:widowControl w:val="0"/>
        <w:numPr>
          <w:ilvl w:val="0"/>
          <w:numId w:val="0"/>
        </w:numPr>
        <w:adjustRightInd/>
        <w:snapToGrid/>
        <w:spacing w:before="0" w:beforeAutospacing="0" w:after="0" w:line="600" w:lineRule="exact"/>
        <w:ind w:leftChars="0"/>
        <w:jc w:val="both"/>
        <w:rPr>
          <w:rFonts w:hint="eastAsia" w:ascii="宋体" w:hAnsi="宋体" w:eastAsia="宋体" w:cs="宋体"/>
          <w:b/>
          <w:sz w:val="30"/>
          <w:szCs w:val="30"/>
        </w:rPr>
      </w:pPr>
      <w:r>
        <w:rPr>
          <w:rFonts w:hint="eastAsia" w:ascii="宋体" w:hAnsi="宋体" w:eastAsia="宋体" w:cs="宋体"/>
          <w:b/>
          <w:sz w:val="30"/>
          <w:szCs w:val="30"/>
          <w:lang w:val="en-US" w:eastAsia="zh-CN"/>
        </w:rPr>
        <w:t>六、</w:t>
      </w:r>
      <w:r>
        <w:rPr>
          <w:rFonts w:hint="eastAsia" w:ascii="宋体" w:hAnsi="宋体" w:eastAsia="宋体" w:cs="宋体"/>
          <w:b/>
          <w:sz w:val="30"/>
          <w:szCs w:val="30"/>
        </w:rPr>
        <w:t>存在的问题及原因分析</w:t>
      </w:r>
    </w:p>
    <w:p>
      <w:pPr>
        <w:spacing w:line="600" w:lineRule="exact"/>
        <w:ind w:firstLine="600" w:firstLineChars="200"/>
        <w:rPr>
          <w:rFonts w:hint="eastAsia" w:ascii="宋体" w:hAnsi="宋体" w:eastAsia="宋体" w:cs="宋体"/>
          <w:bCs/>
          <w:sz w:val="30"/>
          <w:szCs w:val="30"/>
          <w:highlight w:val="yellow"/>
        </w:rPr>
      </w:pPr>
      <w:r>
        <w:rPr>
          <w:rFonts w:hint="eastAsia" w:ascii="宋体" w:hAnsi="宋体" w:eastAsia="宋体" w:cs="宋体"/>
          <w:sz w:val="30"/>
          <w:szCs w:val="30"/>
        </w:rPr>
        <w:t>双江口镇</w:t>
      </w:r>
      <w:r>
        <w:rPr>
          <w:rFonts w:hint="eastAsia" w:ascii="宋体" w:hAnsi="宋体" w:eastAsia="宋体" w:cs="宋体"/>
          <w:bCs/>
          <w:sz w:val="30"/>
          <w:szCs w:val="30"/>
        </w:rPr>
        <w:t xml:space="preserve">绩效评价水平有待进一步提高。单位绩效评价工作，一般由财务人员兼任，相关人员基本上没有接受过专业的培训，绩效评价经验不足。建议上级主管部门组织绩效评价经办人员，进行专门的业务指导和专业培训。         </w:t>
      </w:r>
    </w:p>
    <w:p>
      <w:pPr>
        <w:widowControl w:val="0"/>
        <w:numPr>
          <w:ilvl w:val="0"/>
          <w:numId w:val="0"/>
        </w:numPr>
        <w:adjustRightInd/>
        <w:snapToGrid/>
        <w:spacing w:before="0" w:beforeAutospacing="0" w:after="0" w:line="600" w:lineRule="exact"/>
        <w:ind w:leftChars="0"/>
        <w:jc w:val="both"/>
        <w:rPr>
          <w:rFonts w:hint="eastAsia" w:ascii="宋体" w:hAnsi="宋体" w:eastAsia="宋体" w:cs="宋体"/>
          <w:b/>
          <w:sz w:val="30"/>
          <w:szCs w:val="30"/>
        </w:rPr>
      </w:pPr>
      <w:r>
        <w:rPr>
          <w:rFonts w:hint="eastAsia" w:ascii="宋体" w:hAnsi="宋体" w:eastAsia="宋体" w:cs="宋体"/>
          <w:b/>
          <w:sz w:val="30"/>
          <w:szCs w:val="30"/>
          <w:lang w:val="en-US" w:eastAsia="zh-CN"/>
        </w:rPr>
        <w:t>七、</w:t>
      </w:r>
      <w:r>
        <w:rPr>
          <w:rFonts w:hint="eastAsia" w:ascii="宋体" w:hAnsi="宋体" w:eastAsia="宋体" w:cs="宋体"/>
          <w:b/>
          <w:sz w:val="30"/>
          <w:szCs w:val="30"/>
        </w:rPr>
        <w:t>下一步改进的措施</w:t>
      </w:r>
    </w:p>
    <w:p>
      <w:pPr>
        <w:spacing w:line="6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1.进一步加强财务管理、严格财务审核。在费用报账支付时，严格按照预算规定的费用项目和用途进行资金使用审核、列报支付、财务核算，确保年初预算执行到位。</w:t>
      </w:r>
    </w:p>
    <w:p>
      <w:pPr>
        <w:spacing w:line="6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2.建立健全项目管理相关制度，不断完善工程建设项目法人制度、监理制度、招投标制度和预结决算制度，以概算控制预算，以预算控制结算，推进竣工财务决算工作。进一步将项目支出进行责任细化，由项目办按月提供项目推进进度，除个别项目受其他条件限制外，对于执行进度慢的项目，要进行追责。</w:t>
      </w:r>
    </w:p>
    <w:p>
      <w:pPr>
        <w:spacing w:line="60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3.对相关人员加强培训，特别是针对预算绩效管理等相关文件的学习培训，规范部门预算收支核算，切实提高部门预算绩效管理水平。</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0MzhiODhmY2FmMzcwMjljYTNjODgzM2NmYmMzMTUifQ=="/>
  </w:docVars>
  <w:rsids>
    <w:rsidRoot w:val="00172A27"/>
    <w:rsid w:val="00096F7E"/>
    <w:rsid w:val="00151DAC"/>
    <w:rsid w:val="00283BB9"/>
    <w:rsid w:val="0035671B"/>
    <w:rsid w:val="00362558"/>
    <w:rsid w:val="0045381D"/>
    <w:rsid w:val="00583833"/>
    <w:rsid w:val="005A1D05"/>
    <w:rsid w:val="0072148D"/>
    <w:rsid w:val="00730817"/>
    <w:rsid w:val="00824BCA"/>
    <w:rsid w:val="008E5C69"/>
    <w:rsid w:val="00982433"/>
    <w:rsid w:val="00C72B84"/>
    <w:rsid w:val="00E56BB3"/>
    <w:rsid w:val="00F650DF"/>
    <w:rsid w:val="00FA7411"/>
    <w:rsid w:val="02DC4BB3"/>
    <w:rsid w:val="03FB5AFA"/>
    <w:rsid w:val="047B3072"/>
    <w:rsid w:val="13F90BB1"/>
    <w:rsid w:val="15B50D11"/>
    <w:rsid w:val="20B97B7C"/>
    <w:rsid w:val="246071CE"/>
    <w:rsid w:val="255B789A"/>
    <w:rsid w:val="261A63A9"/>
    <w:rsid w:val="2A1217F2"/>
    <w:rsid w:val="331A61FF"/>
    <w:rsid w:val="3F71126B"/>
    <w:rsid w:val="41326CAA"/>
    <w:rsid w:val="4492209A"/>
    <w:rsid w:val="47F92430"/>
    <w:rsid w:val="48416D8E"/>
    <w:rsid w:val="515250CC"/>
    <w:rsid w:val="54A51975"/>
    <w:rsid w:val="6FCF38F2"/>
    <w:rsid w:val="7709593C"/>
    <w:rsid w:val="7CCF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pPr>
    <w:rPr>
      <w:rFonts w:ascii="Tahoma" w:hAnsi="Tahoma" w:eastAsia="微软雅黑" w:cs="Times New Roman"/>
      <w:kern w:val="0"/>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after="100" w:afterAutospacing="1"/>
    </w:pPr>
    <w:rPr>
      <w:rFonts w:ascii="宋体" w:hAnsi="宋体" w:eastAsia="宋体" w:cs="宋体"/>
      <w:sz w:val="24"/>
      <w:szCs w:val="24"/>
    </w:rPr>
  </w:style>
  <w:style w:type="character" w:styleId="5">
    <w:name w:val="Hyperlink"/>
    <w:basedOn w:val="4"/>
    <w:semiHidden/>
    <w:unhideWhenUsed/>
    <w:qFormat/>
    <w:uiPriority w:val="99"/>
    <w:rPr>
      <w:color w:val="0000FF"/>
      <w:u w:val="single"/>
    </w:rPr>
  </w:style>
  <w:style w:type="paragraph" w:customStyle="1" w:styleId="6">
    <w:name w:val="Table Paragraph"/>
    <w:basedOn w:val="1"/>
    <w:qFormat/>
    <w:uiPriority w:val="0"/>
    <w:pPr>
      <w:widowControl w:val="0"/>
      <w:autoSpaceDE w:val="0"/>
      <w:autoSpaceDN w:val="0"/>
      <w:adjustRightInd/>
      <w:snapToGrid/>
      <w:spacing w:after="0"/>
    </w:pPr>
    <w:rPr>
      <w:rFonts w:ascii="宋体" w:hAnsi="宋体" w:eastAsia="宋体" w:cs="宋体"/>
    </w:rPr>
  </w:style>
  <w:style w:type="paragraph" w:customStyle="1" w:styleId="7">
    <w:name w:val="Default"/>
    <w:basedOn w:val="1"/>
    <w:qFormat/>
    <w:uiPriority w:val="0"/>
    <w:pPr>
      <w:widowControl w:val="0"/>
      <w:autoSpaceDE w:val="0"/>
      <w:autoSpaceDN w:val="0"/>
      <w:snapToGrid/>
      <w:spacing w:before="0" w:beforeAutospacing="0" w:after="0"/>
    </w:pPr>
    <w:rPr>
      <w:rFonts w:ascii="黑体" w:hAnsi="Calibri" w:eastAsia="黑体" w:cs="宋体"/>
      <w:color w:val="000000"/>
      <w:sz w:val="24"/>
      <w:szCs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4841</Words>
  <Characters>5735</Characters>
  <Lines>80</Lines>
  <Paragraphs>22</Paragraphs>
  <TotalTime>9</TotalTime>
  <ScaleCrop>false</ScaleCrop>
  <LinksUpToDate>false</LinksUpToDate>
  <CharactersWithSpaces>5787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2022-07-27T02:55:00Z</dcterms:created>
  <dc:creator>Microsoft</dc:creator>
  <cp:lastModifiedBy>Administrator</cp:lastModifiedBy>
  <dcterms:modified xsi:type="dcterms:W3CDTF">2022-07-28T02:11:18Z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474E7541F45E4E979B3DA32AF35A2A6A</vt:lpwstr>
  </property>
</Properties>
</file>