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adjustRightInd w:val="0"/>
        <w:snapToGrid w:val="0"/>
        <w:spacing w:before="0" w:after="0" w:line="560" w:lineRule="exact"/>
        <w:jc w:val="center"/>
        <w:rPr>
          <w:rFonts w:ascii="方正小标宋简体" w:hAnsi="宋体" w:eastAsia="方正小标宋简体"/>
          <w:sz w:val="44"/>
          <w:szCs w:val="44"/>
        </w:rPr>
      </w:pPr>
    </w:p>
    <w:p>
      <w:pPr>
        <w:pStyle w:val="3"/>
        <w:keepNext w:val="0"/>
        <w:keepLines w:val="0"/>
        <w:adjustRightInd w:val="0"/>
        <w:snapToGrid w:val="0"/>
        <w:spacing w:before="0" w:after="0"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宁乡市疾病预防控制中心</w:t>
      </w:r>
    </w:p>
    <w:p>
      <w:pPr>
        <w:pStyle w:val="3"/>
        <w:keepNext w:val="0"/>
        <w:keepLines w:val="0"/>
        <w:adjustRightInd w:val="0"/>
        <w:snapToGrid w:val="0"/>
        <w:spacing w:before="0" w:after="0"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部门整体支出绩效自评报告</w:t>
      </w:r>
    </w:p>
    <w:p>
      <w:pPr>
        <w:spacing w:line="600" w:lineRule="exact"/>
        <w:ind w:firstLine="627" w:firstLineChars="196"/>
        <w:jc w:val="left"/>
        <w:rPr>
          <w:rFonts w:eastAsia="黑体"/>
          <w:bCs/>
          <w:sz w:val="32"/>
          <w:szCs w:val="32"/>
        </w:rPr>
      </w:pPr>
    </w:p>
    <w:p>
      <w:pPr>
        <w:numPr>
          <w:ilvl w:val="0"/>
          <w:numId w:val="1"/>
        </w:numPr>
        <w:spacing w:line="600" w:lineRule="exact"/>
        <w:rPr>
          <w:rFonts w:eastAsia="黑体"/>
          <w:bCs/>
          <w:sz w:val="32"/>
          <w:szCs w:val="32"/>
        </w:rPr>
      </w:pPr>
      <w:r>
        <w:rPr>
          <w:rFonts w:eastAsia="黑体"/>
          <w:bCs/>
          <w:sz w:val="32"/>
          <w:szCs w:val="32"/>
        </w:rPr>
        <w:t>部门概况</w:t>
      </w:r>
    </w:p>
    <w:p>
      <w:pPr>
        <w:spacing w:line="500" w:lineRule="exact"/>
        <w:ind w:firstLine="482" w:firstLineChars="150"/>
        <w:rPr>
          <w:rFonts w:eastAsia="黑体"/>
          <w:bCs/>
          <w:sz w:val="32"/>
          <w:szCs w:val="32"/>
        </w:rPr>
      </w:pPr>
      <w:r>
        <w:rPr>
          <w:rFonts w:hint="eastAsia" w:ascii="仿宋_GB2312" w:hAnsi="宋体" w:eastAsia="仿宋_GB2312"/>
          <w:b/>
          <w:sz w:val="32"/>
          <w:szCs w:val="32"/>
        </w:rPr>
        <w:t>（一）单位基本情况</w:t>
      </w:r>
      <w:bookmarkStart w:id="0" w:name="_GoBack"/>
      <w:bookmarkEnd w:id="0"/>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宁乡市疾控中心于2005年4月正式挂牌成立，其前身是宁乡县卫生防疫站，为正科级全民事业单位，是由政府举办的实施疾病预防控制和公共卫生技术管理与服务的社会公益性事业单位。主要承担全市疾病防控、突发公共卫生事件应急处置、疫情报告及健康相关因素信息管理、实验室检测分析与评价、健康教育与健康促进、技术管理与应用研究指导、食品、环境、劳动、学校等四大卫生监测职能。担负着保护全市人民群众的身体健康和生命安全的重要职责。</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宁乡市疾病预防控制中心只有本级，没有其他二级预算单位。中心现有在职干职工116人,离休人员1人。单位内设办公室、党务人事科、财务科、质量管理科、总务科、急性传染病防治科、慢病健教科、性病艾滋病防治科、检验科、职业危害因素控制科、免疫规划科、卫生监测科、学校卫生科、结核病防治科、疫苗储运科15个科室，事业编制 120 个，是目前全省人员较多、规模较大的县级疾病预防控制中心。</w:t>
      </w:r>
    </w:p>
    <w:p>
      <w:pPr>
        <w:numPr>
          <w:ilvl w:val="0"/>
          <w:numId w:val="2"/>
        </w:numPr>
        <w:spacing w:line="500" w:lineRule="exact"/>
        <w:ind w:firstLine="482" w:firstLineChars="150"/>
        <w:rPr>
          <w:rFonts w:ascii="仿宋_GB2312" w:hAnsi="宋体" w:eastAsia="仿宋_GB2312"/>
          <w:b/>
          <w:sz w:val="32"/>
          <w:szCs w:val="32"/>
        </w:rPr>
      </w:pPr>
      <w:r>
        <w:rPr>
          <w:rFonts w:hint="eastAsia" w:ascii="仿宋_GB2312" w:hAnsi="宋体" w:eastAsia="仿宋_GB2312"/>
          <w:b/>
          <w:sz w:val="32"/>
          <w:szCs w:val="32"/>
        </w:rPr>
        <w:t>部门整体支出情况</w:t>
      </w:r>
    </w:p>
    <w:p>
      <w:pPr>
        <w:spacing w:line="600" w:lineRule="exact"/>
        <w:rPr>
          <w:rFonts w:ascii="仿宋_GB2312" w:hAnsi="仿宋_GB2312" w:eastAsia="仿宋_GB2312" w:cs="仿宋_GB2312"/>
          <w:sz w:val="32"/>
          <w:szCs w:val="32"/>
        </w:rPr>
      </w:pPr>
      <w:r>
        <w:rPr>
          <w:rFonts w:hint="eastAsia" w:ascii="仿宋_GB2312" w:hAnsi="宋体" w:eastAsia="仿宋_GB2312"/>
          <w:bCs/>
          <w:sz w:val="32"/>
          <w:szCs w:val="32"/>
        </w:rPr>
        <w:t xml:space="preserve">   </w:t>
      </w:r>
      <w:r>
        <w:rPr>
          <w:rFonts w:hint="eastAsia" w:ascii="仿宋_GB2312" w:hAnsi="仿宋_GB2312" w:eastAsia="仿宋_GB2312" w:cs="仿宋_GB2312"/>
          <w:sz w:val="32"/>
          <w:szCs w:val="32"/>
        </w:rPr>
        <w:t>2020年部门整体支出金额</w:t>
      </w:r>
      <w:r>
        <w:rPr>
          <w:rFonts w:hint="eastAsia" w:ascii="仿宋_GB2312" w:hAnsi="宋体" w:eastAsia="仿宋_GB2312"/>
          <w:color w:val="000000"/>
          <w:sz w:val="32"/>
          <w:szCs w:val="32"/>
          <w:lang w:val="en-US" w:eastAsia="zh-CN"/>
        </w:rPr>
        <w:t>9837.27万元</w:t>
      </w:r>
      <w:r>
        <w:rPr>
          <w:rFonts w:hint="eastAsia" w:ascii="仿宋_GB2312" w:hAnsi="仿宋_GB2312" w:eastAsia="仿宋_GB2312" w:cs="仿宋_GB2312"/>
          <w:sz w:val="32"/>
          <w:szCs w:val="32"/>
          <w:lang w:eastAsia="zh-CN"/>
        </w:rPr>
        <w:t>（其中本年支出</w:t>
      </w:r>
      <w:r>
        <w:rPr>
          <w:rFonts w:hint="eastAsia" w:ascii="仿宋_GB2312" w:hAnsi="仿宋_GB2312" w:eastAsia="仿宋_GB2312" w:cs="仿宋_GB2312"/>
          <w:sz w:val="32"/>
          <w:szCs w:val="32"/>
          <w:lang w:val="en-US" w:eastAsia="zh-CN"/>
        </w:rPr>
        <w:t>9811.62万元、本年结转结余25.65万元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，其中基本支出</w:t>
      </w:r>
      <w:r>
        <w:rPr>
          <w:rFonts w:hint="eastAsia" w:ascii="仿宋_GB2312" w:hAnsi="宋体" w:eastAsia="仿宋_GB2312"/>
          <w:color w:val="000000"/>
          <w:sz w:val="32"/>
          <w:szCs w:val="32"/>
        </w:rPr>
        <w:t>2047.01万元</w:t>
      </w:r>
      <w:r>
        <w:rPr>
          <w:rFonts w:hint="eastAsia" w:ascii="仿宋_GB2312" w:hAnsi="仿宋_GB2312" w:eastAsia="仿宋_GB2312" w:cs="仿宋_GB2312"/>
          <w:sz w:val="32"/>
          <w:szCs w:val="32"/>
        </w:rPr>
        <w:t>，主要包括工资福利支出、商品和服务支出、对个人及家庭的补助及资本性支出；项目支出</w:t>
      </w:r>
      <w:r>
        <w:rPr>
          <w:rFonts w:hint="eastAsia" w:ascii="仿宋_GB2312" w:hAnsi="宋体" w:eastAsia="仿宋_GB2312"/>
          <w:color w:val="000000"/>
          <w:sz w:val="32"/>
          <w:szCs w:val="32"/>
        </w:rPr>
        <w:t>7764.61万元</w:t>
      </w:r>
      <w:r>
        <w:rPr>
          <w:rFonts w:hint="eastAsia" w:ascii="仿宋_GB2312" w:hAnsi="仿宋_GB2312" w:eastAsia="仿宋_GB2312" w:cs="仿宋_GB2312"/>
          <w:sz w:val="32"/>
          <w:szCs w:val="32"/>
        </w:rPr>
        <w:t>，主要是公卫疾病防治项目、收入成本支出及其他业务工作项目支出。其中疾病防治项目主要包括艾滋病防控、结核病防控、扩大免疫规划、传染病防控、健康教育、慢病防治及突发事件处置等。</w:t>
      </w:r>
    </w:p>
    <w:p>
      <w:pPr>
        <w:numPr>
          <w:ilvl w:val="0"/>
          <w:numId w:val="1"/>
        </w:numPr>
        <w:spacing w:line="600" w:lineRule="exact"/>
        <w:jc w:val="left"/>
        <w:rPr>
          <w:rFonts w:eastAsia="黑体"/>
          <w:bCs/>
          <w:sz w:val="32"/>
          <w:szCs w:val="32"/>
        </w:rPr>
      </w:pPr>
      <w:r>
        <w:rPr>
          <w:rFonts w:eastAsia="黑体"/>
          <w:bCs/>
          <w:sz w:val="32"/>
          <w:szCs w:val="32"/>
        </w:rPr>
        <w:t>部门整体支出管理及使用情况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根据国家有关财经法律法规，成立了领导管理工作领导小组，制定了财务管理制度，根据相关财务、会计制度制定了单位层面、业务层面等方面的内控制度，为单位内部控制的实行和政府会计制度衔接实施做好了制度基础。单位资金使用全部实行国库集中支付，在资金使用上按照国家财经法规和财务管理制度规定以及有关专项资金管理办法的规定进行收支，资金拨付有完整的审批程序和手续，根据财经制度的有关要求，做到专款专用，单位领导小组对全部资金和专项资金的使用进行全程监督，保证资金使用的合规性。</w:t>
      </w:r>
    </w:p>
    <w:p>
      <w:pPr>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2020年部门整体支出金额</w:t>
      </w:r>
      <w:r>
        <w:rPr>
          <w:rFonts w:hint="eastAsia" w:ascii="仿宋_GB2312" w:hAnsi="宋体" w:eastAsia="仿宋_GB2312"/>
          <w:color w:val="000000"/>
          <w:sz w:val="32"/>
          <w:szCs w:val="32"/>
        </w:rPr>
        <w:t>9811.62</w:t>
      </w:r>
      <w:r>
        <w:rPr>
          <w:rFonts w:hint="eastAsia" w:ascii="仿宋_GB2312" w:hAnsi="仿宋_GB2312" w:eastAsia="仿宋_GB2312" w:cs="仿宋_GB2312"/>
          <w:sz w:val="32"/>
          <w:szCs w:val="32"/>
        </w:rPr>
        <w:t>万元，</w:t>
      </w:r>
      <w:r>
        <w:rPr>
          <w:rFonts w:hint="eastAsia" w:ascii="仿宋_GB2312" w:eastAsia="仿宋_GB2312"/>
          <w:sz w:val="32"/>
          <w:szCs w:val="32"/>
        </w:rPr>
        <w:t>其中：</w:t>
      </w:r>
    </w:p>
    <w:p>
      <w:pPr>
        <w:spacing w:line="600" w:lineRule="exact"/>
        <w:ind w:firstLine="630" w:firstLineChars="196"/>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w:t>
      </w:r>
    </w:p>
    <w:p>
      <w:pPr>
        <w:spacing w:line="600" w:lineRule="exact"/>
        <w:ind w:firstLine="640"/>
        <w:jc w:val="left"/>
        <w:rPr>
          <w:rFonts w:ascii="仿宋_GB2312" w:hAnsi="宋体" w:eastAsia="仿宋_GB2312"/>
          <w:sz w:val="32"/>
          <w:szCs w:val="32"/>
        </w:rPr>
      </w:pPr>
      <w:r>
        <w:rPr>
          <w:rFonts w:hint="eastAsia" w:ascii="仿宋_GB2312" w:hAnsi="宋体" w:eastAsia="仿宋_GB2312"/>
          <w:sz w:val="32"/>
          <w:szCs w:val="32"/>
        </w:rPr>
        <w:t>2020年</w:t>
      </w:r>
      <w:r>
        <w:rPr>
          <w:rFonts w:hint="eastAsia" w:ascii="仿宋_GB2312" w:hAnsi="宋体" w:eastAsia="仿宋_GB2312"/>
          <w:color w:val="000000"/>
          <w:sz w:val="32"/>
          <w:szCs w:val="32"/>
        </w:rPr>
        <w:t>基本支出2047.01万元</w:t>
      </w:r>
      <w:r>
        <w:rPr>
          <w:rFonts w:hint="eastAsia" w:ascii="仿宋_GB2312" w:hAnsi="宋体" w:eastAsia="仿宋_GB2312"/>
          <w:sz w:val="32"/>
          <w:szCs w:val="32"/>
        </w:rPr>
        <w:t>，其中：</w:t>
      </w:r>
    </w:p>
    <w:p>
      <w:pPr>
        <w:ind w:firstLine="640" w:firstLineChars="200"/>
        <w:rPr>
          <w:rFonts w:ascii="仿宋_GB2312" w:eastAsia="仿宋_GB2312"/>
          <w:sz w:val="32"/>
          <w:szCs w:val="32"/>
        </w:rPr>
      </w:pPr>
      <w:r>
        <w:rPr>
          <w:rFonts w:hint="eastAsia" w:ascii="仿宋_GB2312" w:eastAsia="仿宋_GB2312"/>
          <w:sz w:val="32"/>
          <w:szCs w:val="32"/>
        </w:rPr>
        <w:t>①、工资福利支出1819万元，用于在职人员工资、津贴补贴、绩效考核奖、社会保障费、住房公积金、伙食补助费等人员经费。</w:t>
      </w:r>
    </w:p>
    <w:p>
      <w:pPr>
        <w:ind w:firstLine="640" w:firstLineChars="200"/>
        <w:rPr>
          <w:rFonts w:ascii="仿宋_GB2312" w:eastAsia="仿宋_GB2312"/>
          <w:sz w:val="32"/>
          <w:szCs w:val="32"/>
        </w:rPr>
      </w:pPr>
      <w:r>
        <w:rPr>
          <w:rFonts w:hint="eastAsia" w:ascii="仿宋_GB2312" w:eastAsia="仿宋_GB2312"/>
          <w:sz w:val="32"/>
          <w:szCs w:val="32"/>
        </w:rPr>
        <w:t>②、商品服务支出104.72万元，系保障我单位正常运转、完成日常工作任务而发生的各项支出，主要包括办公费、印刷费、邮电费、差旅费、维修（护）费、培训费、公务接待费、专用材料费、工会经费、公务用车运行维护费、其他交通费用等支出。</w:t>
      </w:r>
    </w:p>
    <w:p>
      <w:pPr>
        <w:ind w:firstLine="640" w:firstLineChars="200"/>
        <w:rPr>
          <w:rFonts w:ascii="仿宋_GB2312" w:eastAsia="仿宋_GB2312"/>
          <w:sz w:val="32"/>
          <w:szCs w:val="32"/>
        </w:rPr>
      </w:pPr>
      <w:r>
        <w:rPr>
          <w:rFonts w:hint="eastAsia" w:ascii="仿宋_GB2312" w:eastAsia="仿宋_GB2312"/>
          <w:sz w:val="32"/>
          <w:szCs w:val="32"/>
        </w:rPr>
        <w:t>③、对个人和家庭的补助121.52万元，用于离休人员工资、抚恤金、生活补助、退休人员独生子女费、退休人员慰问等。</w:t>
      </w:r>
    </w:p>
    <w:p>
      <w:pPr>
        <w:ind w:firstLine="640" w:firstLineChars="200"/>
        <w:rPr>
          <w:rFonts w:ascii="仿宋_GB2312" w:eastAsia="仿宋_GB2312"/>
          <w:sz w:val="32"/>
          <w:szCs w:val="32"/>
        </w:rPr>
      </w:pPr>
      <w:r>
        <w:rPr>
          <w:rFonts w:hint="eastAsia" w:ascii="仿宋_GB2312" w:eastAsia="仿宋_GB2312"/>
          <w:sz w:val="32"/>
          <w:szCs w:val="32"/>
        </w:rPr>
        <w:t>④、资本性支出1.77万元，用于单位办公设备购置。</w:t>
      </w:r>
    </w:p>
    <w:p>
      <w:pPr>
        <w:ind w:left="315" w:leftChars="150" w:firstLine="640" w:firstLineChars="200"/>
        <w:rPr>
          <w:rFonts w:ascii="仿宋_GB2312" w:hAnsi="宋体" w:eastAsia="仿宋_GB2312"/>
          <w:sz w:val="32"/>
          <w:szCs w:val="32"/>
        </w:rPr>
      </w:pPr>
      <w:r>
        <w:rPr>
          <w:rFonts w:hint="eastAsia" w:ascii="仿宋_GB2312" w:hAnsi="宋体" w:eastAsia="仿宋_GB2312"/>
          <w:sz w:val="32"/>
          <w:szCs w:val="32"/>
        </w:rPr>
        <w:t>2020年“三公”经费支出21.85万元，较上年经费支出46.75万元减少24.9万元，下降53.26%，减少的主要原因是2019年购置了疫苗冷藏车一台，2020年未购置公务车。其中：</w:t>
      </w:r>
    </w:p>
    <w:p>
      <w:pPr>
        <w:ind w:left="315" w:leftChars="150" w:firstLine="640" w:firstLineChars="200"/>
        <w:rPr>
          <w:rFonts w:ascii="仿宋_GB2312" w:hAnsi="宋体" w:eastAsia="仿宋_GB2312"/>
          <w:sz w:val="32"/>
          <w:szCs w:val="32"/>
        </w:rPr>
      </w:pPr>
      <w:r>
        <w:rPr>
          <w:rFonts w:hint="eastAsia" w:ascii="仿宋_GB2312" w:hAnsi="宋体" w:eastAsia="仿宋_GB2312"/>
          <w:sz w:val="32"/>
          <w:szCs w:val="32"/>
        </w:rPr>
        <w:t>①因公出国（境）费：单位无因公出国（境）费。</w:t>
      </w:r>
    </w:p>
    <w:p>
      <w:pPr>
        <w:ind w:left="315" w:leftChars="150" w:firstLine="640" w:firstLineChars="200"/>
        <w:rPr>
          <w:rFonts w:ascii="仿宋_GB2312" w:hAnsi="宋体" w:eastAsia="仿宋_GB2312"/>
          <w:sz w:val="32"/>
          <w:szCs w:val="32"/>
        </w:rPr>
      </w:pPr>
      <w:r>
        <w:rPr>
          <w:rFonts w:hint="eastAsia" w:ascii="仿宋_GB2312" w:hAnsi="宋体" w:eastAsia="仿宋_GB2312"/>
          <w:sz w:val="32"/>
          <w:szCs w:val="32"/>
        </w:rPr>
        <w:t>②公务用车购置及运行维护费：公务用车运行维护费19.94万元，较上年同期44.81万元，减少24.87万元，下降55.5%。其减少的原因2019年购置了疫苗冷藏车一台，2020年未购置公务车。</w:t>
      </w:r>
    </w:p>
    <w:p>
      <w:pPr>
        <w:ind w:left="315" w:leftChars="150" w:firstLine="640" w:firstLineChars="200"/>
        <w:rPr>
          <w:rFonts w:ascii="仿宋_GB2312" w:hAnsi="宋体" w:eastAsia="仿宋_GB2312" w:cs="宋体"/>
          <w:color w:val="010101"/>
          <w:kern w:val="0"/>
          <w:sz w:val="32"/>
          <w:szCs w:val="32"/>
        </w:rPr>
      </w:pPr>
      <w:r>
        <w:rPr>
          <w:rFonts w:hint="eastAsia" w:ascii="仿宋_GB2312" w:hAnsi="宋体" w:eastAsia="仿宋_GB2312"/>
          <w:sz w:val="32"/>
          <w:szCs w:val="32"/>
        </w:rPr>
        <w:t>③公务接待费：公务接待费1.91万元，较上年同期1.94</w:t>
      </w:r>
      <w:r>
        <w:rPr>
          <w:rFonts w:hint="eastAsia" w:ascii="仿宋_GB2312" w:hAnsi="宋体" w:eastAsia="仿宋_GB2312" w:cs="宋体"/>
          <w:color w:val="010101"/>
          <w:kern w:val="0"/>
          <w:sz w:val="32"/>
          <w:szCs w:val="32"/>
        </w:rPr>
        <w:t>万元，减少0.03万元，下降</w:t>
      </w:r>
      <w:r>
        <w:rPr>
          <w:rFonts w:hint="eastAsia" w:ascii="仿宋_GB2312" w:hAnsi="宋体" w:eastAsia="仿宋_GB2312" w:cs="宋体"/>
          <w:color w:val="000000"/>
          <w:kern w:val="0"/>
          <w:sz w:val="32"/>
          <w:szCs w:val="32"/>
        </w:rPr>
        <w:t>1.22</w:t>
      </w:r>
      <w:r>
        <w:rPr>
          <w:rFonts w:hint="eastAsia" w:ascii="仿宋_GB2312" w:hAnsi="宋体" w:eastAsia="仿宋_GB2312" w:cs="宋体"/>
          <w:color w:val="010101"/>
          <w:kern w:val="0"/>
          <w:sz w:val="32"/>
          <w:szCs w:val="32"/>
        </w:rPr>
        <w:t>%。我单位厉行节约，从严控制“三公”经费支出，</w:t>
      </w:r>
      <w:r>
        <w:rPr>
          <w:rFonts w:hint="eastAsia" w:ascii="仿宋_GB2312" w:hAnsi="宋体" w:eastAsia="仿宋_GB2312"/>
          <w:sz w:val="32"/>
          <w:szCs w:val="32"/>
        </w:rPr>
        <w:t>进一步加大对“三公经费”预算执行的管理力度。</w:t>
      </w:r>
    </w:p>
    <w:p>
      <w:pPr>
        <w:spacing w:line="600" w:lineRule="exact"/>
        <w:ind w:firstLine="321" w:firstLineChars="1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w:t>
      </w:r>
    </w:p>
    <w:p>
      <w:pPr>
        <w:widowControl/>
        <w:wordWrap w:val="0"/>
        <w:spacing w:line="480" w:lineRule="auto"/>
        <w:ind w:firstLine="643" w:firstLineChars="200"/>
        <w:jc w:val="left"/>
        <w:rPr>
          <w:rFonts w:ascii="仿宋_GB2312" w:eastAsia="仿宋_GB2312"/>
          <w:b/>
          <w:bCs/>
          <w:sz w:val="32"/>
          <w:szCs w:val="32"/>
        </w:rPr>
      </w:pPr>
      <w:r>
        <w:rPr>
          <w:rFonts w:hint="eastAsia" w:ascii="仿宋_GB2312" w:eastAsia="仿宋_GB2312"/>
          <w:b/>
          <w:bCs/>
          <w:sz w:val="32"/>
          <w:szCs w:val="32"/>
        </w:rPr>
        <w:t>1、项目资金投入情况</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eastAsia="仿宋_GB2312"/>
          <w:sz w:val="32"/>
          <w:szCs w:val="32"/>
        </w:rPr>
        <w:t>2020年项目支出7764.61万元</w:t>
      </w:r>
      <w:r>
        <w:rPr>
          <w:rFonts w:hint="eastAsia" w:ascii="仿宋_GB2312" w:hAnsi="宋体" w:eastAsia="仿宋_GB2312" w:cs="宋体"/>
          <w:color w:val="010101"/>
          <w:kern w:val="0"/>
          <w:sz w:val="32"/>
          <w:szCs w:val="32"/>
        </w:rPr>
        <w:t>，其中：疾病防治项目支出376.03万元（其中包括</w:t>
      </w:r>
      <w:r>
        <w:rPr>
          <w:rFonts w:hint="eastAsia" w:ascii="仿宋_GB2312" w:hAnsi="仿宋_GB2312" w:eastAsia="仿宋_GB2312" w:cs="仿宋_GB2312"/>
          <w:sz w:val="32"/>
          <w:szCs w:val="32"/>
        </w:rPr>
        <w:t>艾滋病防控、结核病防控、扩大免疫规划、传染病防控、健康教育、慢病防治及学生常见病监测等</w:t>
      </w:r>
      <w:r>
        <w:rPr>
          <w:rFonts w:hint="eastAsia" w:ascii="仿宋_GB2312" w:hAnsi="宋体" w:eastAsia="仿宋_GB2312" w:cs="宋体"/>
          <w:color w:val="010101"/>
          <w:kern w:val="0"/>
          <w:sz w:val="32"/>
          <w:szCs w:val="32"/>
        </w:rPr>
        <w:t>），新冠疫情防控项目支出541.76万元，公共卫生体系建设和重大疫情防控救治体系建设支出227.5万元，医疗服务与保障能力提升支出200万元，收入成本支出5854.48万元，公共卫生服务大楼建设支出183.72万元，其他项目支出381.12万元（其中包括农村饮用水项目、食品安全风险监测、实验室设备添置及学生体检等）。</w:t>
      </w:r>
    </w:p>
    <w:p>
      <w:pPr>
        <w:widowControl/>
        <w:wordWrap w:val="0"/>
        <w:spacing w:line="480" w:lineRule="auto"/>
        <w:ind w:firstLine="643" w:firstLineChars="200"/>
        <w:jc w:val="left"/>
        <w:rPr>
          <w:rFonts w:ascii="仿宋_GB2312" w:hAnsi="宋体" w:eastAsia="仿宋_GB2312" w:cs="宋体"/>
          <w:b/>
          <w:bCs/>
          <w:color w:val="010101"/>
          <w:kern w:val="0"/>
          <w:sz w:val="32"/>
          <w:szCs w:val="32"/>
        </w:rPr>
      </w:pPr>
      <w:r>
        <w:rPr>
          <w:rFonts w:hint="eastAsia" w:ascii="仿宋_GB2312" w:hAnsi="宋体" w:eastAsia="仿宋_GB2312" w:cs="宋体"/>
          <w:b/>
          <w:bCs/>
          <w:color w:val="010101"/>
          <w:kern w:val="0"/>
          <w:sz w:val="32"/>
          <w:szCs w:val="32"/>
        </w:rPr>
        <w:t>2、项目资金实际使用情况分析</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（1）疾病防治项目支出376.03万元，其中：</w:t>
      </w:r>
    </w:p>
    <w:p>
      <w:pPr>
        <w:widowControl/>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①艾滋病项目支出70.4万元，资金主要用于网络直报与管理、免费自愿咨询检测、宣传教育、培训督查、质量控制、患者补助等支出。</w:t>
      </w:r>
    </w:p>
    <w:p>
      <w:pPr>
        <w:widowControl/>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②结核病项目支出19.82万元，资金主要用于结核病病人的诊断、病例报告、接触者筛选、疫情病人追踪、病人管理和随访复查、健康促进、下乡督查、查痰点补助等项目，经费的投入为项目的开展提供了保障。</w:t>
      </w:r>
    </w:p>
    <w:p>
      <w:pPr>
        <w:widowControl/>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③扩大免疫规划项目支出43.91万元，资金主要用于免疫针对性传染病监测、日常工作督导、接种率调查、业务培训、宣传教育、接种门诊建设及冷链设备运转等支出。</w:t>
      </w:r>
    </w:p>
    <w:p>
      <w:pPr>
        <w:widowControl/>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④传染病防控项目支出42.51万元，资金主要用于急性传染病、麻风病、布病、疟疾等重点传染病监测及防治知识和传染病、突发事件报告与处理相关知识培训，补助经费在应急物资储备、应急装备、检验试剂等方面进行了投入，全面提升了疾控管理能力、服务能力和技术水平。</w:t>
      </w:r>
    </w:p>
    <w:p>
      <w:pPr>
        <w:wordWrap w:val="0"/>
        <w:topLinePunct/>
        <w:spacing w:line="560" w:lineRule="exact"/>
        <w:ind w:firstLine="573"/>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⑤健康教育项目支出5.16万元，资金主要用于健康教育培训、健康宣传资料印刷、健康知识宣传科普视频制作、健康知识宣传活动等支出。</w:t>
      </w:r>
    </w:p>
    <w:p>
      <w:pPr>
        <w:wordWrap w:val="0"/>
        <w:topLinePunct/>
        <w:spacing w:line="560" w:lineRule="exact"/>
        <w:ind w:firstLine="573"/>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⑥慢病项目支出5.06万元，资金主要用于慢病培训综合防治业务培训、日常工作督导、慢病知识广告宣传费等相关费用。</w:t>
      </w:r>
    </w:p>
    <w:p>
      <w:pPr>
        <w:wordWrap w:val="0"/>
        <w:topLinePunct/>
        <w:spacing w:line="560" w:lineRule="exact"/>
        <w:ind w:firstLine="573"/>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⑦心血管病高危人群干预项目支出60.61万元，资金主要用于项目专用仪器设备、专用耗材购置支出，体检服务以及宣传动员等。</w:t>
      </w:r>
    </w:p>
    <w:p>
      <w:pPr>
        <w:wordWrap w:val="0"/>
        <w:topLinePunct/>
        <w:spacing w:line="560" w:lineRule="exact"/>
        <w:ind w:firstLine="573"/>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⑧学生常见病监测项目支出37.78万元，资金主要用于开展本市学生常见病监测、健康影响因素调查、学校环境监测工作督导，学生筛查专用材料等支出。</w:t>
      </w:r>
    </w:p>
    <w:p>
      <w:pPr>
        <w:wordWrap w:val="0"/>
        <w:topLinePunct/>
        <w:spacing w:line="560" w:lineRule="exact"/>
        <w:ind w:firstLine="573"/>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⑨职业卫生监测项目支出63.25万元，资金主要用于监测检验耗材、委托监测费及能力提升设备购置等支出。</w:t>
      </w:r>
    </w:p>
    <w:p>
      <w:pPr>
        <w:wordWrap w:val="0"/>
        <w:topLinePunct/>
        <w:spacing w:line="560" w:lineRule="exact"/>
        <w:ind w:firstLine="573"/>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⑩</w:t>
      </w:r>
      <w:r>
        <w:rPr>
          <w:rFonts w:hint="eastAsia" w:ascii="仿宋_GB2312" w:hAnsi="仿宋_GB2312" w:eastAsia="仿宋_GB2312" w:cs="仿宋_GB2312"/>
          <w:sz w:val="32"/>
          <w:szCs w:val="32"/>
        </w:rPr>
        <w:t>地方病监测项目支出27.53万元，资金主要用于是监测检验耗材、监测劳务及专用设备购置等支出。</w:t>
      </w:r>
    </w:p>
    <w:p>
      <w:pPr>
        <w:wordWrap w:val="0"/>
        <w:topLinePunct/>
        <w:spacing w:line="560" w:lineRule="exact"/>
        <w:ind w:firstLine="573"/>
        <w:textAlignment w:val="baseline"/>
        <w:rPr>
          <w:rFonts w:ascii="仿宋_GB2312" w:hAnsi="仿宋_GB2312" w:eastAsia="仿宋_GB2312" w:cs="仿宋_GB2312"/>
          <w:sz w:val="32"/>
          <w:szCs w:val="32"/>
        </w:rPr>
      </w:pPr>
    </w:p>
    <w:p>
      <w:pPr>
        <w:numPr>
          <w:ilvl w:val="0"/>
          <w:numId w:val="3"/>
        </w:numPr>
        <w:wordWrap w:val="0"/>
        <w:topLinePunct/>
        <w:spacing w:line="560" w:lineRule="exact"/>
        <w:ind w:firstLine="573"/>
        <w:textAlignment w:val="baseline"/>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新冠疫情防控项目支出541.76万元，资金主要用于新冠应急物资及设备等支出。</w:t>
      </w:r>
    </w:p>
    <w:p>
      <w:pPr>
        <w:numPr>
          <w:ilvl w:val="0"/>
          <w:numId w:val="3"/>
        </w:numPr>
        <w:wordWrap w:val="0"/>
        <w:topLinePunct/>
        <w:spacing w:line="560" w:lineRule="exact"/>
        <w:ind w:firstLine="573"/>
        <w:textAlignment w:val="baseline"/>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公共卫生体系建设和重大疫情防控救治体系建设支出227.5万元，资金主要用于一是新冠肺炎重点传染病监测设备购置支出100万元；二是疫苗冷链能力设备购置支出84万元；三是基层呼吸系统疾病能力设备购置支出43.5万元。</w:t>
      </w:r>
    </w:p>
    <w:p>
      <w:pPr>
        <w:numPr>
          <w:ilvl w:val="0"/>
          <w:numId w:val="3"/>
        </w:numPr>
        <w:wordWrap w:val="0"/>
        <w:topLinePunct/>
        <w:spacing w:line="560" w:lineRule="exact"/>
        <w:ind w:firstLine="573"/>
        <w:textAlignment w:val="baseline"/>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医疗服务与保障能力提升支出200万元，资金主要用于实验室专用设备购置支出。</w:t>
      </w:r>
    </w:p>
    <w:p>
      <w:pPr>
        <w:numPr>
          <w:ilvl w:val="0"/>
          <w:numId w:val="3"/>
        </w:numPr>
        <w:wordWrap w:val="0"/>
        <w:topLinePunct/>
        <w:spacing w:line="560" w:lineRule="exact"/>
        <w:ind w:firstLine="573"/>
        <w:textAlignment w:val="baseline"/>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收入成本支出5854.48万元，主要是单位疫苗及药品成本支出，所有采购均在省公共资源交易平台进行。</w:t>
      </w:r>
    </w:p>
    <w:p>
      <w:pPr>
        <w:numPr>
          <w:ilvl w:val="0"/>
          <w:numId w:val="3"/>
        </w:numPr>
        <w:wordWrap w:val="0"/>
        <w:topLinePunct/>
        <w:spacing w:line="560" w:lineRule="exact"/>
        <w:ind w:firstLine="573"/>
        <w:textAlignment w:val="baseline"/>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公共卫生服务大楼建设支出183.72万元，资金主要用于公共卫生服务大楼质保金支出。</w:t>
      </w:r>
    </w:p>
    <w:p>
      <w:pPr>
        <w:numPr>
          <w:ilvl w:val="0"/>
          <w:numId w:val="3"/>
        </w:numPr>
        <w:wordWrap w:val="0"/>
        <w:topLinePunct/>
        <w:spacing w:line="560" w:lineRule="exact"/>
        <w:ind w:firstLine="573"/>
        <w:textAlignment w:val="baseline"/>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其他项目支出381.12万元，其中主要一是饮用</w:t>
      </w:r>
      <w:r>
        <w:rPr>
          <w:rFonts w:hint="eastAsia" w:ascii="仿宋_GB2312" w:hAnsi="仿宋_GB2312" w:eastAsia="仿宋_GB2312" w:cs="仿宋_GB2312"/>
          <w:sz w:val="32"/>
          <w:szCs w:val="32"/>
        </w:rPr>
        <w:t>水及食品安全项目支出25.83万元；二是食品安全风险监测支出20万元；三是学生体检项目58.04万元；四是新增新冠疫情补助支出82.23万元；五是拨出妇幼艾梅乙项目112.81万元及精神医院精神障碍项目27.04万元等支出。</w:t>
      </w:r>
    </w:p>
    <w:p>
      <w:pPr>
        <w:wordWrap w:val="0"/>
        <w:topLinePunct/>
        <w:spacing w:line="560" w:lineRule="exact"/>
        <w:ind w:firstLine="573"/>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3、项目资金管理情况</w:t>
      </w:r>
    </w:p>
    <w:p>
      <w:pPr>
        <w:wordWrap w:val="0"/>
        <w:topLinePunct/>
        <w:spacing w:line="560" w:lineRule="exact"/>
        <w:ind w:firstLine="573"/>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我中心对资金的使用和业务工作的安排高度重视，成立了领导机构，制定了《专项资金管理制度》，中心专项资金管理到位，严格执行专款专用，经费使用合理，所有项目资金使用全部在规定的范围以内，不存在挤占挪用现象，最大限度的发挥了项目资金效益。</w:t>
      </w:r>
    </w:p>
    <w:p>
      <w:pPr>
        <w:spacing w:line="600" w:lineRule="exact"/>
        <w:ind w:firstLine="640" w:firstLineChars="200"/>
        <w:jc w:val="left"/>
        <w:rPr>
          <w:rFonts w:eastAsia="黑体"/>
          <w:bCs/>
          <w:sz w:val="32"/>
          <w:szCs w:val="32"/>
        </w:rPr>
      </w:pPr>
      <w:r>
        <w:rPr>
          <w:rFonts w:eastAsia="黑体"/>
          <w:bCs/>
          <w:sz w:val="32"/>
          <w:szCs w:val="32"/>
        </w:rPr>
        <w:t>三、部门项目组织实施情况</w:t>
      </w:r>
    </w:p>
    <w:p>
      <w:pPr>
        <w:widowControl/>
        <w:spacing w:line="600" w:lineRule="exact"/>
        <w:ind w:firstLine="640" w:firstLineChars="200"/>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1、项目组织情况</w:t>
      </w:r>
    </w:p>
    <w:p>
      <w:pPr>
        <w:widowControl/>
        <w:spacing w:line="600" w:lineRule="exact"/>
        <w:ind w:firstLine="640" w:firstLineChars="200"/>
        <w:rPr>
          <w:rFonts w:ascii="仿宋_GB2312" w:hAnsi="宋体" w:eastAsia="仿宋_GB2312" w:cs="宋体"/>
          <w:color w:val="010101"/>
          <w:kern w:val="0"/>
          <w:sz w:val="32"/>
          <w:szCs w:val="32"/>
        </w:rPr>
      </w:pPr>
      <w:r>
        <w:rPr>
          <w:rFonts w:hint="eastAsia" w:ascii="仿宋_GB2312" w:hAnsi="宋体" w:eastAsia="仿宋_GB2312"/>
          <w:color w:val="000000"/>
          <w:sz w:val="32"/>
          <w:szCs w:val="32"/>
        </w:rPr>
        <w:t>项目实施过程中，我单位严格根据相关文件法规，坚持公开、公正、公平的原则，所有采购均按照政府采购程序实施。</w:t>
      </w:r>
    </w:p>
    <w:p>
      <w:pPr>
        <w:widowControl/>
        <w:spacing w:line="600" w:lineRule="exact"/>
        <w:ind w:firstLine="640" w:firstLineChars="200"/>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2、项目工作管理过程</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（1）、前期准备：在年初将项目要求及进度及时与相关人员、相关单位进行沟通。并组织不定期培训，提高业务人员的专业素质，确保项目达标。</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（2）、组织实施：组织专业团队，根据考评细则，对每个项目的开展情况进行定期考核。</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（3）、分析评价：考评结束后一个星期内组织专家进行评价，对存在的问题进行通报，限期整改，并落实专人定期跟踪整改情况。</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3、项目资金日常管理情况：</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仿宋_GB2312" w:eastAsia="仿宋_GB2312" w:cs="仿宋_GB2312"/>
          <w:sz w:val="32"/>
          <w:szCs w:val="32"/>
        </w:rPr>
        <w:t>（1）、</w:t>
      </w:r>
      <w:r>
        <w:rPr>
          <w:rFonts w:hint="eastAsia" w:ascii="仿宋_GB2312" w:hAnsi="宋体" w:eastAsia="仿宋_GB2312" w:cs="宋体"/>
          <w:color w:val="010101"/>
          <w:kern w:val="0"/>
          <w:sz w:val="32"/>
          <w:szCs w:val="32"/>
        </w:rPr>
        <w:t>中心建立健全项目资金管理制度。</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仿宋_GB2312" w:eastAsia="仿宋_GB2312" w:cs="仿宋_GB2312"/>
          <w:sz w:val="32"/>
          <w:szCs w:val="32"/>
        </w:rPr>
        <w:t>（2）、</w:t>
      </w:r>
      <w:r>
        <w:rPr>
          <w:rFonts w:hint="eastAsia" w:ascii="仿宋_GB2312" w:hAnsi="宋体" w:eastAsia="仿宋_GB2312" w:cs="宋体"/>
          <w:color w:val="010101"/>
          <w:kern w:val="0"/>
          <w:sz w:val="32"/>
          <w:szCs w:val="32"/>
        </w:rPr>
        <w:t>业务科室会同财务科制定专项资金使用计划。</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仿宋_GB2312" w:eastAsia="仿宋_GB2312" w:cs="仿宋_GB2312"/>
          <w:sz w:val="32"/>
          <w:szCs w:val="32"/>
        </w:rPr>
        <w:t>（3）、</w:t>
      </w:r>
      <w:r>
        <w:rPr>
          <w:rFonts w:hint="eastAsia" w:ascii="仿宋_GB2312" w:hAnsi="宋体" w:eastAsia="仿宋_GB2312" w:cs="宋体"/>
          <w:color w:val="010101"/>
          <w:kern w:val="0"/>
          <w:sz w:val="32"/>
          <w:szCs w:val="32"/>
        </w:rPr>
        <w:t>业务科室负责人根据批准的经费使用计划按工作进度申请用款。</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（4）、业务科室提交经费请示单并逐级审批。</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（5）、财务科按领导批示的经费请示审核、报销、记账。</w:t>
      </w:r>
    </w:p>
    <w:p>
      <w:pPr>
        <w:widowControl/>
        <w:wordWrap w:val="0"/>
        <w:spacing w:line="480" w:lineRule="auto"/>
        <w:ind w:firstLine="640" w:firstLineChars="200"/>
        <w:jc w:val="left"/>
        <w:rPr>
          <w:rFonts w:ascii="仿宋_GB2312" w:hAnsi="宋体" w:eastAsia="仿宋_GB2312" w:cs="宋体"/>
          <w:color w:val="010101"/>
          <w:kern w:val="0"/>
          <w:sz w:val="32"/>
          <w:szCs w:val="32"/>
        </w:rPr>
      </w:pPr>
      <w:r>
        <w:rPr>
          <w:rFonts w:hint="eastAsia" w:ascii="仿宋_GB2312" w:hAnsi="宋体" w:eastAsia="仿宋_GB2312" w:cs="宋体"/>
          <w:color w:val="010101"/>
          <w:kern w:val="0"/>
          <w:sz w:val="32"/>
          <w:szCs w:val="32"/>
        </w:rPr>
        <w:t>（6）、项目资金专款专用、单独核算、设立专账。</w:t>
      </w:r>
    </w:p>
    <w:p>
      <w:pPr>
        <w:spacing w:line="600" w:lineRule="exact"/>
        <w:jc w:val="left"/>
        <w:rPr>
          <w:rFonts w:eastAsia="黑体"/>
          <w:bCs/>
          <w:sz w:val="32"/>
          <w:szCs w:val="32"/>
        </w:rPr>
      </w:pPr>
      <w:r>
        <w:rPr>
          <w:rFonts w:eastAsia="黑体"/>
          <w:bCs/>
          <w:sz w:val="32"/>
          <w:szCs w:val="32"/>
        </w:rPr>
        <w:t>四、资产管理情况</w:t>
      </w:r>
    </w:p>
    <w:p>
      <w:pPr>
        <w:ind w:firstLine="480" w:firstLineChars="150"/>
        <w:rPr>
          <w:rFonts w:ascii="仿宋_GB2312" w:eastAsia="仿宋_GB2312"/>
          <w:sz w:val="32"/>
          <w:szCs w:val="32"/>
        </w:rPr>
      </w:pPr>
      <w:r>
        <w:rPr>
          <w:rFonts w:hint="eastAsia" w:ascii="仿宋_GB2312" w:eastAsia="仿宋_GB2312"/>
          <w:sz w:val="32"/>
          <w:szCs w:val="32"/>
        </w:rPr>
        <w:t>（一）资产主要情况</w:t>
      </w:r>
    </w:p>
    <w:p>
      <w:pPr>
        <w:ind w:firstLine="800" w:firstLineChars="250"/>
        <w:rPr>
          <w:rFonts w:ascii="仿宋_GB2312" w:eastAsia="仿宋_GB2312"/>
          <w:sz w:val="32"/>
          <w:szCs w:val="32"/>
        </w:rPr>
      </w:pPr>
      <w:r>
        <w:rPr>
          <w:rFonts w:hint="eastAsia" w:ascii="仿宋_GB2312" w:eastAsia="仿宋_GB2312"/>
          <w:sz w:val="32"/>
          <w:szCs w:val="32"/>
        </w:rPr>
        <w:t>1、存货1129.26万元，主要包括药品、疫苗库存及后勤仓库日常物资等。</w:t>
      </w:r>
    </w:p>
    <w:p>
      <w:pPr>
        <w:ind w:firstLine="640" w:firstLineChars="200"/>
        <w:rPr>
          <w:rFonts w:ascii="仿宋_GB2312" w:eastAsia="仿宋_GB2312"/>
          <w:sz w:val="32"/>
          <w:szCs w:val="32"/>
        </w:rPr>
      </w:pPr>
      <w:r>
        <w:rPr>
          <w:rFonts w:hint="eastAsia" w:ascii="仿宋_GB2312" w:eastAsia="仿宋_GB2312"/>
          <w:sz w:val="32"/>
          <w:szCs w:val="32"/>
        </w:rPr>
        <w:t>2、应收帐往来款2214.33万元，主要为乡镇卫生院疫苗欠款。</w:t>
      </w:r>
    </w:p>
    <w:p>
      <w:pPr>
        <w:ind w:firstLine="640" w:firstLineChars="200"/>
        <w:rPr>
          <w:rFonts w:ascii="仿宋_GB2312" w:eastAsia="仿宋_GB2312"/>
          <w:sz w:val="32"/>
          <w:szCs w:val="32"/>
        </w:rPr>
      </w:pPr>
      <w:r>
        <w:rPr>
          <w:rFonts w:hint="eastAsia" w:ascii="仿宋_GB2312" w:eastAsia="仿宋_GB2312"/>
          <w:sz w:val="32"/>
          <w:szCs w:val="32"/>
        </w:rPr>
        <w:t>3、固定资产净值718.46万元(原值1827.69万元，折旧1109.23万元）。</w:t>
      </w:r>
    </w:p>
    <w:p>
      <w:pPr>
        <w:ind w:firstLine="640" w:firstLineChars="200"/>
        <w:rPr>
          <w:rFonts w:ascii="仿宋_GB2312" w:eastAsia="仿宋_GB2312"/>
          <w:sz w:val="32"/>
          <w:szCs w:val="32"/>
        </w:rPr>
      </w:pPr>
      <w:r>
        <w:rPr>
          <w:rFonts w:hint="eastAsia" w:ascii="仿宋_GB2312" w:eastAsia="仿宋_GB2312"/>
          <w:sz w:val="32"/>
          <w:szCs w:val="32"/>
        </w:rPr>
        <w:t>（二）国有资产占有情况</w:t>
      </w:r>
    </w:p>
    <w:p>
      <w:pPr>
        <w:ind w:firstLine="480" w:firstLineChars="150"/>
        <w:rPr>
          <w:rFonts w:ascii="仿宋_GB2312" w:eastAsia="仿宋_GB2312"/>
          <w:sz w:val="32"/>
          <w:szCs w:val="32"/>
        </w:rPr>
      </w:pPr>
      <w:r>
        <w:rPr>
          <w:rFonts w:hint="eastAsia" w:ascii="仿宋_GB2312" w:eastAsia="仿宋_GB2312"/>
          <w:sz w:val="32"/>
          <w:szCs w:val="32"/>
        </w:rPr>
        <w:t>截至2020年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日，本部门共有车辆6辆，其中：一般公务用车4辆、一般执法执勤用车</w:t>
      </w:r>
      <w:r>
        <w:rPr>
          <w:rFonts w:ascii="仿宋_GB2312" w:eastAsia="仿宋_GB2312"/>
          <w:sz w:val="32"/>
          <w:szCs w:val="32"/>
        </w:rPr>
        <w:t>0</w:t>
      </w:r>
      <w:r>
        <w:rPr>
          <w:rFonts w:hint="eastAsia" w:ascii="仿宋_GB2312" w:eastAsia="仿宋_GB2312"/>
          <w:sz w:val="32"/>
          <w:szCs w:val="32"/>
        </w:rPr>
        <w:t>辆、特种专业技术用车2辆、其他用车</w:t>
      </w:r>
      <w:r>
        <w:rPr>
          <w:rFonts w:ascii="仿宋_GB2312" w:eastAsia="仿宋_GB2312"/>
          <w:sz w:val="32"/>
          <w:szCs w:val="32"/>
        </w:rPr>
        <w:t>0</w:t>
      </w:r>
      <w:r>
        <w:rPr>
          <w:rFonts w:hint="eastAsia" w:ascii="仿宋_GB2312" w:eastAsia="仿宋_GB2312"/>
          <w:sz w:val="32"/>
          <w:szCs w:val="32"/>
        </w:rPr>
        <w:t>辆</w:t>
      </w:r>
      <w:r>
        <w:rPr>
          <w:rFonts w:ascii="仿宋_GB2312" w:eastAsia="仿宋_GB2312"/>
          <w:sz w:val="32"/>
          <w:szCs w:val="32"/>
        </w:rPr>
        <w:t xml:space="preserve">; </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万元以上通用设备6台，单位价值</w:t>
      </w:r>
      <w:r>
        <w:rPr>
          <w:rFonts w:ascii="仿宋_GB2312" w:eastAsia="仿宋_GB2312"/>
          <w:sz w:val="32"/>
          <w:szCs w:val="32"/>
        </w:rPr>
        <w:t xml:space="preserve">100 </w:t>
      </w:r>
      <w:r>
        <w:rPr>
          <w:rFonts w:hint="eastAsia" w:ascii="仿宋_GB2312" w:eastAsia="仿宋_GB2312"/>
          <w:sz w:val="32"/>
          <w:szCs w:val="32"/>
        </w:rPr>
        <w:t>万元以上专用设备</w:t>
      </w:r>
      <w:r>
        <w:rPr>
          <w:rFonts w:ascii="仿宋_GB2312" w:eastAsia="仿宋_GB2312"/>
          <w:sz w:val="32"/>
          <w:szCs w:val="32"/>
        </w:rPr>
        <w:t>1</w:t>
      </w:r>
      <w:r>
        <w:rPr>
          <w:rFonts w:hint="eastAsia" w:ascii="仿宋_GB2312" w:eastAsia="仿宋_GB2312"/>
          <w:sz w:val="32"/>
          <w:szCs w:val="32"/>
        </w:rPr>
        <w:t>台。</w:t>
      </w:r>
      <w:r>
        <w:rPr>
          <w:rFonts w:ascii="仿宋_GB2312" w:eastAsia="仿宋_GB2312"/>
          <w:sz w:val="32"/>
          <w:szCs w:val="32"/>
        </w:rPr>
        <w:t xml:space="preserve">  </w:t>
      </w:r>
    </w:p>
    <w:p>
      <w:pPr>
        <w:numPr>
          <w:ilvl w:val="0"/>
          <w:numId w:val="2"/>
        </w:numPr>
        <w:ind w:firstLine="480" w:firstLineChars="150"/>
        <w:rPr>
          <w:rFonts w:ascii="仿宋_GB2312" w:eastAsia="仿宋_GB2312"/>
          <w:sz w:val="32"/>
          <w:szCs w:val="32"/>
        </w:rPr>
      </w:pPr>
      <w:r>
        <w:rPr>
          <w:rFonts w:hint="eastAsia" w:ascii="仿宋_GB2312" w:eastAsia="仿宋_GB2312"/>
          <w:sz w:val="32"/>
          <w:szCs w:val="32"/>
        </w:rPr>
        <w:t>资产管理措施</w:t>
      </w:r>
    </w:p>
    <w:p>
      <w:pPr>
        <w:spacing w:line="600" w:lineRule="exact"/>
        <w:ind w:firstLine="627" w:firstLineChars="196"/>
        <w:jc w:val="left"/>
        <w:rPr>
          <w:rFonts w:ascii="仿宋_GB2312" w:hAnsi="宋体" w:eastAsia="仿宋_GB2312" w:cs="宋体"/>
          <w:kern w:val="0"/>
          <w:sz w:val="32"/>
          <w:szCs w:val="32"/>
        </w:rPr>
      </w:pPr>
      <w:r>
        <w:rPr>
          <w:rFonts w:hint="eastAsia" w:ascii="仿宋_GB2312" w:eastAsia="仿宋_GB2312"/>
          <w:sz w:val="32"/>
          <w:szCs w:val="32"/>
        </w:rPr>
        <w:t>我中心为保证资产安全和完整，充分发挥资产使用效能，</w:t>
      </w:r>
      <w:r>
        <w:rPr>
          <w:rFonts w:hint="eastAsia" w:ascii="仿宋_GB2312" w:hAnsi="宋体" w:eastAsia="仿宋_GB2312" w:cs="宋体"/>
          <w:kern w:val="0"/>
          <w:sz w:val="32"/>
          <w:szCs w:val="32"/>
        </w:rPr>
        <w:t>根据《行政事业单位国有资产管理</w:t>
      </w:r>
      <w:r>
        <w:fldChar w:fldCharType="begin"/>
      </w:r>
      <w:r>
        <w:instrText xml:space="preserve"> HYPERLINK "http://gw.yjbys.com/banfa/" \t "_blank" </w:instrText>
      </w:r>
      <w:r>
        <w:fldChar w:fldCharType="separate"/>
      </w:r>
      <w:r>
        <w:rPr>
          <w:rFonts w:hint="eastAsia" w:ascii="仿宋_GB2312" w:hAnsi="宋体" w:eastAsia="仿宋_GB2312" w:cs="宋体"/>
          <w:kern w:val="0"/>
          <w:sz w:val="32"/>
          <w:szCs w:val="32"/>
        </w:rPr>
        <w:t>办法</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》和《行政事业单位会计</w:t>
      </w:r>
      <w:r>
        <w:fldChar w:fldCharType="begin"/>
      </w:r>
      <w:r>
        <w:instrText xml:space="preserve"> HYPERLINK "http://gw.yjbys.com/zhidu/" \t "_blank" </w:instrText>
      </w:r>
      <w:r>
        <w:fldChar w:fldCharType="separate"/>
      </w:r>
      <w:r>
        <w:rPr>
          <w:rFonts w:hint="eastAsia" w:ascii="仿宋_GB2312" w:hAnsi="宋体" w:eastAsia="仿宋_GB2312" w:cs="宋体"/>
          <w:kern w:val="0"/>
          <w:sz w:val="32"/>
          <w:szCs w:val="32"/>
        </w:rPr>
        <w:t>制度</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》、《事业单位会计准则》的有关</w:t>
      </w:r>
      <w:r>
        <w:fldChar w:fldCharType="begin"/>
      </w:r>
      <w:r>
        <w:instrText xml:space="preserve"> HYPERLINK "http://gw.yjbys.com/guiding/" \t "_blank" </w:instrText>
      </w:r>
      <w:r>
        <w:fldChar w:fldCharType="separate"/>
      </w:r>
      <w:r>
        <w:rPr>
          <w:rFonts w:hint="eastAsia" w:ascii="仿宋_GB2312" w:hAnsi="宋体" w:eastAsia="仿宋_GB2312" w:cs="宋体"/>
          <w:kern w:val="0"/>
          <w:sz w:val="32"/>
          <w:szCs w:val="32"/>
        </w:rPr>
        <w:t>规定</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，结合我中心实际，制定了《资产管理制度》，中心资产管理符合规定，并将</w:t>
      </w:r>
      <w:r>
        <w:rPr>
          <w:rFonts w:hint="eastAsia" w:ascii="仿宋_GB2312" w:eastAsia="仿宋_GB2312"/>
          <w:sz w:val="32"/>
          <w:szCs w:val="32"/>
        </w:rPr>
        <w:t>资产管理和使用纳入科室的工作内容，做到合理使用，管理完善。</w:t>
      </w:r>
    </w:p>
    <w:p>
      <w:pPr>
        <w:numPr>
          <w:ilvl w:val="0"/>
          <w:numId w:val="4"/>
        </w:numPr>
        <w:spacing w:line="600" w:lineRule="exact"/>
        <w:jc w:val="left"/>
        <w:rPr>
          <w:rFonts w:ascii="仿宋_GB2312" w:hAnsi="仿宋_GB2312" w:eastAsia="仿宋_GB2312" w:cs="仿宋_GB2312"/>
          <w:bCs/>
          <w:sz w:val="32"/>
          <w:szCs w:val="32"/>
        </w:rPr>
      </w:pPr>
      <w:r>
        <w:rPr>
          <w:rFonts w:eastAsia="黑体"/>
          <w:bCs/>
          <w:sz w:val="32"/>
          <w:szCs w:val="32"/>
        </w:rPr>
        <w:t>部门整体支出绩效情况</w:t>
      </w:r>
    </w:p>
    <w:p>
      <w:pPr>
        <w:spacing w:line="6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（一）部门整体支出绩效自评分析</w:t>
      </w:r>
    </w:p>
    <w:p>
      <w:pPr>
        <w:spacing w:line="600" w:lineRule="exact"/>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2020年，我单位积极履职，强化管理，较好的完成了年度工作目标。通过加强预算收支管理，不断建立健全内部管理制度，梳理内部管理流程，部门整体支出管理水平得到提升。根据部门整体支出绩效评价指标体系，绩效情况如下：</w:t>
      </w:r>
    </w:p>
    <w:p>
      <w:pPr>
        <w:pStyle w:val="7"/>
        <w:shd w:val="clear" w:color="auto" w:fill="FFFFFF"/>
        <w:spacing w:before="0" w:beforeAutospacing="0" w:after="0" w:afterAutospacing="0"/>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1、 中心绩效目标设置合理。</w:t>
      </w:r>
    </w:p>
    <w:p>
      <w:pPr>
        <w:pStyle w:val="7"/>
        <w:shd w:val="clear" w:color="auto" w:fill="FFFFFF"/>
        <w:spacing w:before="0" w:beforeAutospacing="0" w:after="0" w:afterAutospacing="0"/>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2、预算配置控制较好。其中：在职人员控制率，在职116人/编制120人*100%=96.66%；“三公”经费预算数较上年减少24.9万元，变动率小于0；重点支出安排率100%。</w:t>
      </w:r>
    </w:p>
    <w:p>
      <w:pPr>
        <w:pStyle w:val="7"/>
        <w:shd w:val="clear" w:color="auto" w:fill="FFFFFF"/>
        <w:spacing w:before="0" w:beforeAutospacing="0" w:after="0" w:afterAutospacing="0"/>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3、预算管理较理想，预算执行比较到位，但仍需进一步强化。其中：</w:t>
      </w:r>
    </w:p>
    <w:p>
      <w:pPr>
        <w:pStyle w:val="7"/>
        <w:shd w:val="clear" w:color="auto" w:fill="FFFFFF"/>
        <w:spacing w:before="0" w:beforeAutospacing="0" w:after="0" w:afterAutospacing="0"/>
        <w:ind w:firstLine="640" w:firstLineChars="200"/>
        <w:jc w:val="both"/>
        <w:rPr>
          <w:rFonts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（1）预算完成率=（上年结转0.00万元+年初预算数4477.87万元+本年追加预算5333.75万元-年末结余0万元）/(上年结转0.00万元+年初预算数4477.87万元+本年追加预算5359.41万元)*100%=99.73%。</w:t>
      </w:r>
    </w:p>
    <w:p>
      <w:pPr>
        <w:pStyle w:val="7"/>
        <w:shd w:val="clear" w:color="auto" w:fill="FFFFFF"/>
        <w:spacing w:before="0" w:beforeAutospacing="0" w:after="0" w:afterAutospacing="0"/>
        <w:ind w:firstLine="56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（2）预算调整率=（本年调整预算数5359.41万元/年初预算数4477.87万元）*100%=119.68%。</w:t>
      </w:r>
    </w:p>
    <w:p>
      <w:pPr>
        <w:pStyle w:val="7"/>
        <w:shd w:val="clear" w:color="auto" w:fill="FFFFFF"/>
        <w:spacing w:before="0" w:beforeAutospacing="0" w:after="0" w:afterAutospacing="0"/>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（3）公用经费控制率=（实际支出公用经费总额106.48万元/预算安排公用经费总额104.35万元）*100%=102.04%。</w:t>
      </w:r>
    </w:p>
    <w:p>
      <w:pPr>
        <w:pStyle w:val="7"/>
        <w:shd w:val="clear" w:color="auto" w:fill="FFFFFF"/>
        <w:spacing w:before="0" w:beforeAutospacing="0" w:after="0" w:afterAutospacing="0"/>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（4）“三公”经费控制率=（“三公经费”实际支出数21.85万元/“三公经费”预算安排数25万元）*100%=87.4%。</w:t>
      </w:r>
    </w:p>
    <w:p>
      <w:pPr>
        <w:pStyle w:val="7"/>
        <w:shd w:val="clear" w:color="auto" w:fill="FFFFFF"/>
        <w:spacing w:before="0" w:beforeAutospacing="0" w:after="0" w:afterAutospacing="0"/>
        <w:ind w:firstLine="56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（5）政府采购执行率=（实际政府采购金额与政府采购预算金额一致）*100%=100%。</w:t>
      </w:r>
    </w:p>
    <w:p>
      <w:pPr>
        <w:pStyle w:val="7"/>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4、中心管理制度健全，有内部财务管理制度、内部控制制度、会计核算制度、专项资金管理等管理制度，相关管理制度合法、合规、完整。</w:t>
      </w:r>
    </w:p>
    <w:p>
      <w:pPr>
        <w:spacing w:line="600" w:lineRule="exact"/>
        <w:ind w:firstLine="627" w:firstLineChars="196"/>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5、中心资产管理较好，内部</w:t>
      </w:r>
      <w:r>
        <w:rPr>
          <w:rFonts w:hint="eastAsia" w:ascii="仿宋_GB2312" w:hAnsi="宋体" w:eastAsia="仿宋_GB2312" w:cs="宋体"/>
          <w:kern w:val="0"/>
          <w:sz w:val="32"/>
          <w:szCs w:val="32"/>
        </w:rPr>
        <w:t>制定了《资产管理制度》，并将</w:t>
      </w:r>
      <w:r>
        <w:rPr>
          <w:rFonts w:hint="eastAsia" w:ascii="仿宋_GB2312" w:eastAsia="仿宋_GB2312"/>
          <w:sz w:val="32"/>
          <w:szCs w:val="32"/>
        </w:rPr>
        <w:t>资产管理和使用纳入科室的工作内容，做到合理使用，管理完善。</w:t>
      </w:r>
    </w:p>
    <w:p>
      <w:pPr>
        <w:widowControl/>
        <w:numPr>
          <w:ilvl w:val="0"/>
          <w:numId w:val="5"/>
        </w:numPr>
        <w:spacing w:line="500" w:lineRule="exact"/>
        <w:ind w:firstLine="643" w:firstLineChars="200"/>
        <w:jc w:val="left"/>
        <w:rPr>
          <w:rFonts w:ascii="仿宋_GB2312" w:hAnsi="宋体" w:eastAsia="仿宋_GB2312" w:cs="宋体"/>
          <w:b/>
          <w:bCs/>
          <w:color w:val="010101"/>
          <w:kern w:val="0"/>
          <w:sz w:val="32"/>
          <w:szCs w:val="32"/>
        </w:rPr>
      </w:pPr>
      <w:r>
        <w:rPr>
          <w:rFonts w:hint="eastAsia" w:ascii="仿宋_GB2312" w:hAnsi="宋体" w:eastAsia="仿宋_GB2312" w:cs="宋体"/>
          <w:b/>
          <w:bCs/>
          <w:color w:val="010101"/>
          <w:kern w:val="0"/>
          <w:sz w:val="32"/>
          <w:szCs w:val="32"/>
        </w:rPr>
        <w:t>业务工作绩效</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sz w:val="32"/>
        </w:rPr>
        <w:t>1.</w:t>
      </w:r>
      <w:r>
        <w:rPr>
          <w:rFonts w:hint="eastAsia" w:ascii="仿宋_GB2312" w:hAnsi="仿宋_GB2312" w:eastAsia="仿宋_GB2312" w:cs="仿宋_GB2312"/>
          <w:color w:val="000000"/>
          <w:sz w:val="32"/>
        </w:rPr>
        <w:t>重点传染病防控落实到位。</w:t>
      </w:r>
      <w:r>
        <w:rPr>
          <w:rFonts w:hint="eastAsia" w:ascii="仿宋_GB2312" w:hAnsi="仿宋_GB2312" w:eastAsia="仿宋_GB2312" w:cs="仿宋_GB2312"/>
          <w:sz w:val="32"/>
          <w:szCs w:val="32"/>
        </w:rPr>
        <w:t>圆满完成了</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年霍乱、</w:t>
      </w:r>
      <w:r>
        <w:rPr>
          <w:rFonts w:ascii="仿宋_GB2312" w:hAnsi="仿宋_GB2312" w:eastAsia="仿宋_GB2312" w:cs="仿宋_GB2312"/>
          <w:sz w:val="32"/>
          <w:szCs w:val="32"/>
        </w:rPr>
        <w:t>H7N9</w:t>
      </w:r>
      <w:r>
        <w:rPr>
          <w:rFonts w:hint="eastAsia" w:ascii="仿宋_GB2312" w:hAnsi="仿宋_GB2312" w:eastAsia="仿宋_GB2312" w:cs="仿宋_GB2312"/>
          <w:sz w:val="32"/>
          <w:szCs w:val="32"/>
        </w:rPr>
        <w:t>禽流感、狂犬病、登革热、出血热、钩体、手足口病、疟疾、布病、不明原因肺炎等重点传染病的监测任务。截止至11月30日，全市共报告本地法定传染病例11925例（去年同期甲乙丙类15102例，相比下降21.04%），其中甲类0种0例；乙类16种3084例，死亡13例（艾滋病10例，肺结核3例）；丙类传染病6种8841例，无死亡病例。2020年共对313起预警信号（去年同期491条）进行了核实调查处理，判定为疑似事件的预警5条，均及时进行了调查处置。</w:t>
      </w:r>
    </w:p>
    <w:p>
      <w:pPr>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计划免疫成果持续巩固。通过加强疫情后的查漏补种、培训、宣传和督查，继续巩固消灭脊灰、消除麻疹工作成果，免疫规划疫苗针对性疾病得到有效控制。截止</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日，宁乡市累计报告麻疹疑似病例</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例，累计报告风疹疑似病例</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例，全部为排除病例；报告</w:t>
      </w:r>
      <w:r>
        <w:rPr>
          <w:rFonts w:ascii="仿宋_GB2312" w:hAnsi="仿宋_GB2312" w:eastAsia="仿宋_GB2312" w:cs="仿宋_GB2312"/>
          <w:sz w:val="32"/>
          <w:szCs w:val="32"/>
        </w:rPr>
        <w:t>AFP</w:t>
      </w:r>
      <w:r>
        <w:rPr>
          <w:rFonts w:hint="eastAsia" w:ascii="仿宋_GB2312" w:hAnsi="仿宋_GB2312" w:eastAsia="仿宋_GB2312" w:cs="仿宋_GB2312"/>
          <w:sz w:val="32"/>
          <w:szCs w:val="32"/>
        </w:rPr>
        <w:t>临床病例</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例，均排除；无乙脑病例、流脑病例报告。</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年共向各医疗机构、乡镇卫生院共计配送一类疫苗</w:t>
      </w:r>
      <w:r>
        <w:rPr>
          <w:rFonts w:ascii="仿宋_GB2312" w:hAnsi="仿宋_GB2312" w:eastAsia="仿宋_GB2312" w:cs="仿宋_GB2312"/>
          <w:sz w:val="32"/>
          <w:szCs w:val="32"/>
        </w:rPr>
        <w:t>190336</w:t>
      </w:r>
      <w:r>
        <w:rPr>
          <w:rFonts w:hint="eastAsia" w:ascii="仿宋_GB2312" w:hAnsi="仿宋_GB2312" w:eastAsia="仿宋_GB2312" w:cs="仿宋_GB2312"/>
          <w:sz w:val="32"/>
          <w:szCs w:val="32"/>
        </w:rPr>
        <w:t>支、二类疫苗</w:t>
      </w:r>
      <w:r>
        <w:rPr>
          <w:rFonts w:ascii="仿宋_GB2312" w:hAnsi="仿宋_GB2312" w:eastAsia="仿宋_GB2312" w:cs="仿宋_GB2312"/>
          <w:sz w:val="32"/>
          <w:szCs w:val="32"/>
        </w:rPr>
        <w:t>422673</w:t>
      </w:r>
      <w:r>
        <w:rPr>
          <w:rFonts w:hint="eastAsia" w:ascii="仿宋_GB2312" w:hAnsi="仿宋_GB2312" w:eastAsia="仿宋_GB2312" w:cs="仿宋_GB2312"/>
          <w:sz w:val="32"/>
          <w:szCs w:val="32"/>
        </w:rPr>
        <w:t>支。</w:t>
      </w:r>
    </w:p>
    <w:p>
      <w:pPr>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地慢病防控工作有序开展。截至</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日，全市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年新建居民健康档案</w:t>
      </w:r>
      <w:r>
        <w:rPr>
          <w:rFonts w:ascii="仿宋_GB2312" w:hAnsi="仿宋_GB2312" w:eastAsia="仿宋_GB2312" w:cs="仿宋_GB2312"/>
          <w:sz w:val="32"/>
          <w:szCs w:val="32"/>
        </w:rPr>
        <w:t>25949</w:t>
      </w:r>
      <w:r>
        <w:rPr>
          <w:rFonts w:hint="eastAsia" w:ascii="仿宋_GB2312" w:hAnsi="仿宋_GB2312" w:eastAsia="仿宋_GB2312" w:cs="仿宋_GB2312"/>
          <w:sz w:val="32"/>
          <w:szCs w:val="32"/>
        </w:rPr>
        <w:t>份，累计管档</w:t>
      </w:r>
      <w:r>
        <w:rPr>
          <w:rFonts w:ascii="仿宋_GB2312" w:hAnsi="仿宋_GB2312" w:eastAsia="仿宋_GB2312" w:cs="仿宋_GB2312"/>
          <w:sz w:val="32"/>
          <w:szCs w:val="32"/>
        </w:rPr>
        <w:t>1128049</w:t>
      </w:r>
      <w:r>
        <w:rPr>
          <w:rFonts w:hint="eastAsia" w:ascii="仿宋_GB2312" w:hAnsi="仿宋_GB2312" w:eastAsia="仿宋_GB2312" w:cs="仿宋_GB2312"/>
          <w:sz w:val="32"/>
          <w:szCs w:val="32"/>
        </w:rPr>
        <w:t>份，总建档率</w:t>
      </w:r>
      <w:r>
        <w:rPr>
          <w:rFonts w:ascii="仿宋_GB2312" w:hAnsi="仿宋_GB2312" w:eastAsia="仿宋_GB2312" w:cs="仿宋_GB2312"/>
          <w:sz w:val="32"/>
          <w:szCs w:val="32"/>
        </w:rPr>
        <w:t>86.44%</w:t>
      </w:r>
      <w:r>
        <w:rPr>
          <w:rFonts w:hint="eastAsia" w:ascii="仿宋_GB2312" w:hAnsi="仿宋_GB2312" w:eastAsia="仿宋_GB2312" w:cs="仿宋_GB2312"/>
          <w:sz w:val="32"/>
          <w:szCs w:val="32"/>
        </w:rPr>
        <w:t>。全市管理</w:t>
      </w:r>
      <w:r>
        <w:rPr>
          <w:rFonts w:ascii="仿宋_GB2312" w:hAnsi="仿宋_GB2312" w:eastAsia="仿宋_GB2312" w:cs="仿宋_GB2312"/>
          <w:sz w:val="32"/>
          <w:szCs w:val="32"/>
        </w:rPr>
        <w:t>65</w:t>
      </w:r>
      <w:r>
        <w:rPr>
          <w:rFonts w:hint="eastAsia" w:ascii="仿宋_GB2312" w:hAnsi="仿宋_GB2312" w:eastAsia="仿宋_GB2312" w:cs="仿宋_GB2312"/>
          <w:sz w:val="32"/>
          <w:szCs w:val="32"/>
        </w:rPr>
        <w:t>岁以上老年人</w:t>
      </w:r>
      <w:r>
        <w:rPr>
          <w:rFonts w:ascii="仿宋_GB2312" w:hAnsi="仿宋_GB2312" w:eastAsia="仿宋_GB2312" w:cs="仿宋_GB2312"/>
          <w:sz w:val="32"/>
          <w:szCs w:val="32"/>
        </w:rPr>
        <w:t>150087</w:t>
      </w:r>
      <w:r>
        <w:rPr>
          <w:rFonts w:hint="eastAsia" w:ascii="仿宋_GB2312" w:hAnsi="仿宋_GB2312" w:eastAsia="仿宋_GB2312" w:cs="仿宋_GB2312"/>
          <w:sz w:val="32"/>
          <w:szCs w:val="32"/>
        </w:rPr>
        <w:t>人，已体检</w:t>
      </w:r>
      <w:r>
        <w:rPr>
          <w:rFonts w:ascii="仿宋_GB2312" w:hAnsi="仿宋_GB2312" w:eastAsia="仿宋_GB2312" w:cs="仿宋_GB2312"/>
          <w:sz w:val="32"/>
          <w:szCs w:val="32"/>
        </w:rPr>
        <w:t>124747</w:t>
      </w:r>
      <w:r>
        <w:rPr>
          <w:rFonts w:hint="eastAsia" w:ascii="仿宋_GB2312" w:hAnsi="仿宋_GB2312" w:eastAsia="仿宋_GB2312" w:cs="仿宋_GB2312"/>
          <w:sz w:val="32"/>
          <w:szCs w:val="32"/>
        </w:rPr>
        <w:t>人，老年人健康体检率</w:t>
      </w:r>
      <w:r>
        <w:rPr>
          <w:rFonts w:ascii="仿宋_GB2312" w:hAnsi="仿宋_GB2312" w:eastAsia="仿宋_GB2312" w:cs="仿宋_GB2312"/>
          <w:sz w:val="32"/>
          <w:szCs w:val="32"/>
        </w:rPr>
        <w:t>83.11%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年新增管理高血压患者</w:t>
      </w:r>
      <w:r>
        <w:rPr>
          <w:rFonts w:ascii="仿宋_GB2312" w:hAnsi="仿宋_GB2312" w:eastAsia="仿宋_GB2312" w:cs="仿宋_GB2312"/>
          <w:sz w:val="32"/>
          <w:szCs w:val="32"/>
        </w:rPr>
        <w:t>15618</w:t>
      </w:r>
      <w:r>
        <w:rPr>
          <w:rFonts w:hint="eastAsia" w:ascii="仿宋_GB2312" w:hAnsi="仿宋_GB2312" w:eastAsia="仿宋_GB2312" w:cs="仿宋_GB2312"/>
          <w:sz w:val="32"/>
          <w:szCs w:val="32"/>
        </w:rPr>
        <w:t>例，累计管理高血压患者</w:t>
      </w:r>
      <w:r>
        <w:rPr>
          <w:rFonts w:ascii="仿宋_GB2312" w:hAnsi="仿宋_GB2312" w:eastAsia="仿宋_GB2312" w:cs="仿宋_GB2312"/>
          <w:sz w:val="32"/>
          <w:szCs w:val="32"/>
        </w:rPr>
        <w:t>88256</w:t>
      </w:r>
      <w:r>
        <w:rPr>
          <w:rFonts w:hint="eastAsia" w:ascii="仿宋_GB2312" w:hAnsi="仿宋_GB2312" w:eastAsia="仿宋_GB2312" w:cs="仿宋_GB2312"/>
          <w:sz w:val="32"/>
          <w:szCs w:val="32"/>
        </w:rPr>
        <w:t>例，新增管理糖尿病患者</w:t>
      </w:r>
      <w:r>
        <w:rPr>
          <w:rFonts w:ascii="仿宋_GB2312" w:hAnsi="仿宋_GB2312" w:eastAsia="仿宋_GB2312" w:cs="仿宋_GB2312"/>
          <w:sz w:val="32"/>
          <w:szCs w:val="32"/>
        </w:rPr>
        <w:t>4872</w:t>
      </w:r>
      <w:r>
        <w:rPr>
          <w:rFonts w:hint="eastAsia" w:ascii="仿宋_GB2312" w:hAnsi="仿宋_GB2312" w:eastAsia="仿宋_GB2312" w:cs="仿宋_GB2312"/>
          <w:sz w:val="32"/>
          <w:szCs w:val="32"/>
        </w:rPr>
        <w:t>例，累计管理糖尿病患者</w:t>
      </w:r>
      <w:r>
        <w:rPr>
          <w:rFonts w:ascii="仿宋_GB2312" w:hAnsi="仿宋_GB2312" w:eastAsia="仿宋_GB2312" w:cs="仿宋_GB2312"/>
          <w:sz w:val="32"/>
          <w:szCs w:val="32"/>
        </w:rPr>
        <w:t>33883</w:t>
      </w:r>
      <w:r>
        <w:rPr>
          <w:rFonts w:hint="eastAsia" w:ascii="仿宋_GB2312" w:hAnsi="仿宋_GB2312" w:eastAsia="仿宋_GB2312" w:cs="仿宋_GB2312"/>
          <w:sz w:val="32"/>
          <w:szCs w:val="32"/>
        </w:rPr>
        <w:t>例，管理率分别为</w:t>
      </w:r>
      <w:r>
        <w:rPr>
          <w:rFonts w:ascii="仿宋_GB2312" w:hAnsi="仿宋_GB2312" w:eastAsia="仿宋_GB2312" w:cs="仿宋_GB2312"/>
          <w:sz w:val="32"/>
          <w:szCs w:val="32"/>
        </w:rPr>
        <w:t>33.55%</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31.20%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2020-2021</w:t>
      </w:r>
      <w:r>
        <w:rPr>
          <w:rFonts w:hint="eastAsia" w:ascii="仿宋_GB2312" w:hAnsi="仿宋_GB2312" w:eastAsia="仿宋_GB2312" w:cs="仿宋_GB2312"/>
          <w:sz w:val="32"/>
          <w:szCs w:val="32"/>
        </w:rPr>
        <w:t>年度心血管高危人群早期筛查与综合干预项目初筛</w:t>
      </w:r>
      <w:r>
        <w:rPr>
          <w:rFonts w:ascii="仿宋_GB2312" w:hAnsi="仿宋_GB2312" w:eastAsia="仿宋_GB2312" w:cs="仿宋_GB2312"/>
          <w:sz w:val="32"/>
          <w:szCs w:val="32"/>
        </w:rPr>
        <w:t>2257</w:t>
      </w:r>
      <w:r>
        <w:rPr>
          <w:rFonts w:hint="eastAsia" w:ascii="仿宋_GB2312" w:hAnsi="仿宋_GB2312" w:eastAsia="仿宋_GB2312" w:cs="仿宋_GB2312"/>
          <w:sz w:val="32"/>
          <w:szCs w:val="32"/>
        </w:rPr>
        <w:t>人，初筛调查完成率</w:t>
      </w:r>
      <w:r>
        <w:rPr>
          <w:rFonts w:ascii="仿宋_GB2312" w:hAnsi="仿宋_GB2312" w:eastAsia="仿宋_GB2312" w:cs="仿宋_GB2312"/>
          <w:sz w:val="32"/>
          <w:szCs w:val="32"/>
        </w:rPr>
        <w:t>64%</w:t>
      </w:r>
      <w:r>
        <w:rPr>
          <w:rFonts w:hint="eastAsia" w:ascii="仿宋_GB2312" w:hAnsi="仿宋_GB2312" w:eastAsia="仿宋_GB2312" w:cs="仿宋_GB2312"/>
          <w:sz w:val="32"/>
          <w:szCs w:val="32"/>
        </w:rPr>
        <w:t>，高危检出</w:t>
      </w:r>
      <w:r>
        <w:rPr>
          <w:rFonts w:ascii="仿宋_GB2312" w:hAnsi="仿宋_GB2312" w:eastAsia="仿宋_GB2312" w:cs="仿宋_GB2312"/>
          <w:sz w:val="32"/>
          <w:szCs w:val="32"/>
        </w:rPr>
        <w:t>555</w:t>
      </w:r>
      <w:r>
        <w:rPr>
          <w:rFonts w:hint="eastAsia" w:ascii="仿宋_GB2312" w:hAnsi="仿宋_GB2312" w:eastAsia="仿宋_GB2312" w:cs="仿宋_GB2312"/>
          <w:sz w:val="32"/>
          <w:szCs w:val="32"/>
        </w:rPr>
        <w:t>人，高危检出率</w:t>
      </w:r>
      <w:r>
        <w:rPr>
          <w:rFonts w:ascii="仿宋_GB2312" w:hAnsi="仿宋_GB2312" w:eastAsia="仿宋_GB2312" w:cs="仿宋_GB2312"/>
          <w:sz w:val="32"/>
          <w:szCs w:val="32"/>
        </w:rPr>
        <w:t>24.59%</w:t>
      </w:r>
      <w:r>
        <w:rPr>
          <w:rFonts w:hint="eastAsia" w:ascii="仿宋_GB2312" w:hAnsi="仿宋_GB2312" w:eastAsia="仿宋_GB2312" w:cs="仿宋_GB2312"/>
          <w:sz w:val="32"/>
          <w:szCs w:val="32"/>
        </w:rPr>
        <w:t>。接手地方病防控工作起来，中心领导高度重视，多方协调，通过下发方案、现场交流、培训等多种方式有序推动。</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结核病防治工作稳步推进。截止</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日，发现活动性肺结核患者</w:t>
      </w:r>
      <w:r>
        <w:rPr>
          <w:rFonts w:ascii="仿宋_GB2312" w:hAnsi="仿宋_GB2312" w:eastAsia="仿宋_GB2312" w:cs="仿宋_GB2312"/>
          <w:sz w:val="32"/>
          <w:szCs w:val="32"/>
        </w:rPr>
        <w:t xml:space="preserve"> 691</w:t>
      </w:r>
      <w:r>
        <w:rPr>
          <w:rFonts w:hint="eastAsia" w:ascii="仿宋_GB2312" w:hAnsi="仿宋_GB2312" w:eastAsia="仿宋_GB2312" w:cs="仿宋_GB2312"/>
          <w:sz w:val="32"/>
          <w:szCs w:val="32"/>
        </w:rPr>
        <w:t>例，完成全年任务的</w:t>
      </w:r>
      <w:r>
        <w:rPr>
          <w:rFonts w:ascii="仿宋_GB2312" w:hAnsi="仿宋_GB2312" w:eastAsia="仿宋_GB2312" w:cs="仿宋_GB2312"/>
          <w:sz w:val="32"/>
          <w:szCs w:val="32"/>
        </w:rPr>
        <w:t>126.56%</w:t>
      </w:r>
      <w:r>
        <w:rPr>
          <w:rFonts w:hint="eastAsia" w:ascii="仿宋_GB2312" w:hAnsi="仿宋_GB2312" w:eastAsia="仿宋_GB2312" w:cs="仿宋_GB2312"/>
          <w:sz w:val="32"/>
          <w:szCs w:val="32"/>
        </w:rPr>
        <w:t>，其中病原学阳性患者</w:t>
      </w:r>
      <w:r>
        <w:rPr>
          <w:rFonts w:ascii="仿宋_GB2312" w:hAnsi="仿宋_GB2312" w:eastAsia="仿宋_GB2312" w:cs="仿宋_GB2312"/>
          <w:sz w:val="32"/>
          <w:szCs w:val="32"/>
        </w:rPr>
        <w:t>319</w:t>
      </w:r>
      <w:r>
        <w:rPr>
          <w:rFonts w:hint="eastAsia" w:ascii="仿宋_GB2312" w:hAnsi="仿宋_GB2312" w:eastAsia="仿宋_GB2312" w:cs="仿宋_GB2312"/>
          <w:sz w:val="32"/>
          <w:szCs w:val="32"/>
        </w:rPr>
        <w:t>例，病原学阳性率为</w:t>
      </w:r>
      <w:r>
        <w:rPr>
          <w:rFonts w:ascii="仿宋_GB2312" w:hAnsi="仿宋_GB2312" w:eastAsia="仿宋_GB2312" w:cs="仿宋_GB2312"/>
          <w:sz w:val="32"/>
          <w:szCs w:val="32"/>
        </w:rPr>
        <w:t>58.4%</w:t>
      </w:r>
      <w:r>
        <w:rPr>
          <w:rFonts w:hint="eastAsia" w:ascii="仿宋_GB2312" w:hAnsi="仿宋_GB2312" w:eastAsia="仿宋_GB2312" w:cs="仿宋_GB2312"/>
          <w:sz w:val="32"/>
          <w:szCs w:val="32"/>
        </w:rPr>
        <w:t>，病原学阳性患者耐药筛查率</w:t>
      </w:r>
      <w:r>
        <w:rPr>
          <w:rFonts w:ascii="仿宋_GB2312" w:hAnsi="仿宋_GB2312" w:eastAsia="仿宋_GB2312" w:cs="仿宋_GB2312"/>
          <w:sz w:val="32"/>
          <w:szCs w:val="32"/>
        </w:rPr>
        <w:t>91.81%</w:t>
      </w:r>
      <w:r>
        <w:rPr>
          <w:rFonts w:hint="eastAsia" w:ascii="仿宋_GB2312" w:hAnsi="仿宋_GB2312" w:eastAsia="仿宋_GB2312" w:cs="仿宋_GB2312"/>
          <w:sz w:val="32"/>
          <w:szCs w:val="32"/>
        </w:rPr>
        <w:t>，高危人群耐药筛查率</w:t>
      </w:r>
      <w:r>
        <w:rPr>
          <w:rFonts w:ascii="仿宋_GB2312" w:hAnsi="仿宋_GB2312" w:eastAsia="仿宋_GB2312" w:cs="仿宋_GB2312"/>
          <w:sz w:val="32"/>
          <w:szCs w:val="32"/>
        </w:rPr>
        <w:t>95.83%</w:t>
      </w:r>
      <w:r>
        <w:rPr>
          <w:rFonts w:hint="eastAsia" w:ascii="仿宋_GB2312" w:hAnsi="仿宋_GB2312" w:eastAsia="仿宋_GB2312" w:cs="仿宋_GB2312"/>
          <w:sz w:val="32"/>
          <w:szCs w:val="32"/>
        </w:rPr>
        <w:t>。发现学校疫情共</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起，发现敬老院、精神病院、工厂散发疫情共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起，均按要求处置，有效避免了聚集性疫情发生。</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艾滋病防治工作持续推动。截止</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日，新增艾滋病病例</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4例，死亡</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例，累计管理1037例。对新增的</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4例艾滋病病毒感染者均进行了完整管理。艾滋病病毒感染者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病人随访干预比例</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CD4</w:t>
      </w:r>
      <w:r>
        <w:rPr>
          <w:rFonts w:hint="eastAsia" w:ascii="仿宋_GB2312" w:hAnsi="仿宋_GB2312" w:eastAsia="仿宋_GB2312" w:cs="仿宋_GB2312"/>
          <w:sz w:val="32"/>
          <w:szCs w:val="32"/>
        </w:rPr>
        <w:t>检测比率</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，配偶检测比率</w:t>
      </w:r>
      <w:r>
        <w:rPr>
          <w:rFonts w:ascii="仿宋_GB2312" w:hAnsi="仿宋_GB2312" w:eastAsia="仿宋_GB2312" w:cs="仿宋_GB2312"/>
          <w:sz w:val="32"/>
          <w:szCs w:val="32"/>
        </w:rPr>
        <w:t>91%</w:t>
      </w:r>
      <w:r>
        <w:rPr>
          <w:rFonts w:hint="eastAsia" w:ascii="仿宋_GB2312" w:hAnsi="仿宋_GB2312" w:eastAsia="仿宋_GB2312" w:cs="仿宋_GB2312"/>
          <w:sz w:val="32"/>
          <w:szCs w:val="32"/>
        </w:rPr>
        <w:t>，结核检测比率</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，抗病毒治疗比率</w:t>
      </w:r>
      <w:r>
        <w:rPr>
          <w:rFonts w:ascii="仿宋_GB2312" w:hAnsi="仿宋_GB2312" w:eastAsia="仿宋_GB2312" w:cs="仿宋_GB2312"/>
          <w:sz w:val="32"/>
          <w:szCs w:val="32"/>
        </w:rPr>
        <w:t>90.3%</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月共干预检测暗娼</w:t>
      </w:r>
      <w:r>
        <w:rPr>
          <w:rFonts w:ascii="仿宋_GB2312" w:hAnsi="仿宋_GB2312" w:eastAsia="仿宋_GB2312" w:cs="仿宋_GB2312"/>
          <w:sz w:val="32"/>
          <w:szCs w:val="32"/>
        </w:rPr>
        <w:t xml:space="preserve"> 488</w:t>
      </w:r>
      <w:r>
        <w:rPr>
          <w:rFonts w:hint="eastAsia" w:ascii="仿宋_GB2312" w:hAnsi="仿宋_GB2312" w:eastAsia="仿宋_GB2312" w:cs="仿宋_GB2312"/>
          <w:sz w:val="32"/>
          <w:szCs w:val="32"/>
        </w:rPr>
        <w:t>例、吸毒人群</w:t>
      </w:r>
      <w:r>
        <w:rPr>
          <w:rFonts w:ascii="仿宋_GB2312" w:hAnsi="仿宋_GB2312" w:eastAsia="仿宋_GB2312" w:cs="仿宋_GB2312"/>
          <w:sz w:val="32"/>
          <w:szCs w:val="32"/>
        </w:rPr>
        <w:t>279</w:t>
      </w:r>
      <w:r>
        <w:rPr>
          <w:rFonts w:hint="eastAsia" w:ascii="仿宋_GB2312" w:hAnsi="仿宋_GB2312" w:eastAsia="仿宋_GB2312" w:cs="仿宋_GB2312"/>
          <w:sz w:val="32"/>
          <w:szCs w:val="32"/>
        </w:rPr>
        <w:t>例、男男人群</w:t>
      </w:r>
      <w:r>
        <w:rPr>
          <w:rFonts w:ascii="仿宋_GB2312" w:hAnsi="仿宋_GB2312" w:eastAsia="仿宋_GB2312" w:cs="仿宋_GB2312"/>
          <w:sz w:val="32"/>
          <w:szCs w:val="32"/>
        </w:rPr>
        <w:t xml:space="preserve"> 246</w:t>
      </w:r>
      <w:r>
        <w:rPr>
          <w:rFonts w:hint="eastAsia" w:ascii="仿宋_GB2312" w:hAnsi="仿宋_GB2312" w:eastAsia="仿宋_GB2312" w:cs="仿宋_GB2312"/>
          <w:sz w:val="32"/>
          <w:szCs w:val="32"/>
        </w:rPr>
        <w:t>例、农民工</w:t>
      </w:r>
      <w:r>
        <w:rPr>
          <w:rFonts w:ascii="仿宋_GB2312" w:hAnsi="仿宋_GB2312" w:eastAsia="仿宋_GB2312" w:cs="仿宋_GB2312"/>
          <w:sz w:val="32"/>
          <w:szCs w:val="32"/>
        </w:rPr>
        <w:t>259</w:t>
      </w:r>
      <w:r>
        <w:rPr>
          <w:rFonts w:hint="eastAsia" w:ascii="仿宋_GB2312" w:hAnsi="仿宋_GB2312" w:eastAsia="仿宋_GB2312" w:cs="仿宋_GB2312"/>
          <w:sz w:val="32"/>
          <w:szCs w:val="32"/>
        </w:rPr>
        <w:t>例、性病就诊者</w:t>
      </w:r>
      <w:r>
        <w:rPr>
          <w:rFonts w:ascii="仿宋_GB2312" w:hAnsi="仿宋_GB2312" w:eastAsia="仿宋_GB2312" w:cs="仿宋_GB2312"/>
          <w:sz w:val="32"/>
          <w:szCs w:val="32"/>
        </w:rPr>
        <w:t>182</w:t>
      </w:r>
      <w:r>
        <w:rPr>
          <w:rFonts w:hint="eastAsia" w:ascii="仿宋_GB2312" w:hAnsi="仿宋_GB2312" w:eastAsia="仿宋_GB2312" w:cs="仿宋_GB2312"/>
          <w:sz w:val="32"/>
          <w:szCs w:val="32"/>
        </w:rPr>
        <w:t>例。在麻风节为</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个麻风病例各赠送了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个电饭煲和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床棉被进行慰问。</w:t>
      </w:r>
    </w:p>
    <w:p>
      <w:pPr>
        <w:spacing w:line="540" w:lineRule="exact"/>
        <w:ind w:firstLine="640" w:firstLineChars="200"/>
        <w:jc w:val="left"/>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健康教育工作有序开展。</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年，编印和发放《防控新冠肺炎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学校篇》《防控新冠肺炎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公众篇》《新冠肺炎预防指南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养老院篇》《新冠肺炎工业企业防控指南》《预防新冠肺炎个人应该做好哪些防护》等宣传折页、海报共计</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余万份。协助制作新冠肺炎疫情防控综合宣传</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余期，利用微信等新媒体及时发布，为各单位、各部门提供疫情防控工作指导和疫情知识普及。继续开展重点卫生日公众健康宣传示范引领工程工作，</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年在城郊街道、双江口镇、菁华铺镇、老粮仓镇分别组织开展了4场大型宣传活动，取得良好效果，深受群众喜爱。同时，结合各类卫生宣传日开展了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次线上宣传活动，联合市教育局、宁乡爱尔眼科开展了“宁乡市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全国爱眼日”大型现场宣传活动等。世界艾滋病日宣传活动期间在全市开展多形式、多渠道的防艾知识宣传，在市民之家和老粮仓镇分别举办大型现场宣传活动。充分发挥大众媒体的宣传优势，在《今日宁乡》、宁乡电视台、宁视界分别设立了“疾病控制”专栏，进一步巩固全国健康促进县的成果。</w:t>
      </w:r>
    </w:p>
    <w:p>
      <w:pPr>
        <w:spacing w:line="540" w:lineRule="exact"/>
        <w:ind w:firstLine="640" w:firstLineChars="200"/>
        <w:jc w:val="left"/>
        <w:rPr>
          <w:rFonts w:ascii="仿宋_GB2312" w:hAnsi="宋体" w:eastAsia="仿宋_GB2312" w:cs="宋体"/>
          <w:color w:val="010101"/>
          <w:kern w:val="0"/>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各项监测工作有效开展。采集出厂水、未梢水、二次供水、分散式供水点、城区管网末稍水水样共计</w:t>
      </w:r>
      <w:r>
        <w:rPr>
          <w:rFonts w:ascii="仿宋_GB2312" w:hAnsi="仿宋_GB2312" w:eastAsia="仿宋_GB2312" w:cs="仿宋_GB2312"/>
          <w:sz w:val="32"/>
          <w:szCs w:val="32"/>
        </w:rPr>
        <w:t>178</w:t>
      </w:r>
      <w:r>
        <w:rPr>
          <w:rFonts w:hint="eastAsia" w:ascii="仿宋_GB2312" w:hAnsi="仿宋_GB2312" w:eastAsia="仿宋_GB2312" w:cs="仿宋_GB2312"/>
          <w:sz w:val="32"/>
          <w:szCs w:val="32"/>
        </w:rPr>
        <w:t>余件，对检测结果进行了及时汇报与公示；共完成食品安全风险监测任务</w:t>
      </w:r>
      <w:r>
        <w:rPr>
          <w:rFonts w:ascii="仿宋_GB2312" w:hAnsi="仿宋_GB2312" w:eastAsia="仿宋_GB2312" w:cs="仿宋_GB2312"/>
          <w:sz w:val="32"/>
          <w:szCs w:val="32"/>
        </w:rPr>
        <w:t>338</w:t>
      </w:r>
      <w:r>
        <w:rPr>
          <w:rFonts w:hint="eastAsia" w:ascii="仿宋_GB2312" w:hAnsi="仿宋_GB2312" w:eastAsia="仿宋_GB2312" w:cs="仿宋_GB2312"/>
          <w:sz w:val="32"/>
          <w:szCs w:val="32"/>
        </w:rPr>
        <w:t>份；在市人民医院和双凫铺中心卫生院首次开展了医疗用水监测、医用</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超探头及医用隔帘微生物污染情况专项调查，以及医疗污水的消毒监测，共计检测样品</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份；完成了全市</w:t>
      </w:r>
      <w:r>
        <w:rPr>
          <w:rFonts w:ascii="仿宋_GB2312" w:hAnsi="仿宋_GB2312" w:eastAsia="仿宋_GB2312" w:cs="仿宋_GB2312"/>
          <w:sz w:val="32"/>
          <w:szCs w:val="32"/>
        </w:rPr>
        <w:t>222</w:t>
      </w:r>
      <w:r>
        <w:rPr>
          <w:rFonts w:hint="eastAsia" w:ascii="仿宋_GB2312" w:hAnsi="仿宋_GB2312" w:eastAsia="仿宋_GB2312" w:cs="仿宋_GB2312"/>
          <w:sz w:val="32"/>
          <w:szCs w:val="32"/>
        </w:rPr>
        <w:t>所中小学校托幼机构的现场检测采样督导工作，共计采集水样</w:t>
      </w:r>
      <w:r>
        <w:rPr>
          <w:rFonts w:ascii="仿宋_GB2312" w:hAnsi="仿宋_GB2312" w:eastAsia="仿宋_GB2312" w:cs="仿宋_GB2312"/>
          <w:sz w:val="32"/>
          <w:szCs w:val="32"/>
        </w:rPr>
        <w:t>224</w:t>
      </w:r>
      <w:r>
        <w:rPr>
          <w:rFonts w:hint="eastAsia" w:ascii="仿宋_GB2312" w:hAnsi="仿宋_GB2312" w:eastAsia="仿宋_GB2312" w:cs="仿宋_GB2312"/>
          <w:sz w:val="32"/>
          <w:szCs w:val="32"/>
        </w:rPr>
        <w:t>个，完成了</w:t>
      </w:r>
      <w:r>
        <w:rPr>
          <w:rFonts w:ascii="仿宋_GB2312" w:hAnsi="仿宋_GB2312" w:eastAsia="仿宋_GB2312" w:cs="仿宋_GB2312"/>
          <w:sz w:val="32"/>
          <w:szCs w:val="32"/>
        </w:rPr>
        <w:t>32480</w:t>
      </w:r>
      <w:r>
        <w:rPr>
          <w:rFonts w:hint="eastAsia" w:ascii="仿宋_GB2312" w:hAnsi="仿宋_GB2312" w:eastAsia="仿宋_GB2312" w:cs="仿宋_GB2312"/>
          <w:sz w:val="32"/>
          <w:szCs w:val="32"/>
        </w:rPr>
        <w:t>名中学生的健康体检和</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万余名学生肺结核筛查工作；启动了省级“学生常见病监测以及健康影响因素调查和干预”项目工作，共计完成</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所监测点学校</w:t>
      </w:r>
      <w:r>
        <w:rPr>
          <w:rFonts w:ascii="仿宋_GB2312" w:hAnsi="仿宋_GB2312" w:eastAsia="仿宋_GB2312" w:cs="仿宋_GB2312"/>
          <w:sz w:val="32"/>
          <w:szCs w:val="32"/>
        </w:rPr>
        <w:t>2237</w:t>
      </w:r>
      <w:r>
        <w:rPr>
          <w:rFonts w:hint="eastAsia" w:ascii="仿宋_GB2312" w:hAnsi="仿宋_GB2312" w:eastAsia="仿宋_GB2312" w:cs="仿宋_GB2312"/>
          <w:sz w:val="32"/>
          <w:szCs w:val="32"/>
        </w:rPr>
        <w:t>名学生的常见病体检和问卷调查工作，并完成</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间教室的教学环境检测工作；共计完成职业健康检查</w:t>
      </w:r>
      <w:r>
        <w:rPr>
          <w:rFonts w:ascii="仿宋_GB2312" w:hAnsi="仿宋_GB2312" w:eastAsia="仿宋_GB2312" w:cs="仿宋_GB2312"/>
          <w:sz w:val="32"/>
          <w:szCs w:val="32"/>
        </w:rPr>
        <w:t>7965</w:t>
      </w:r>
      <w:r>
        <w:rPr>
          <w:rFonts w:hint="eastAsia" w:ascii="仿宋_GB2312" w:hAnsi="仿宋_GB2312" w:eastAsia="仿宋_GB2312" w:cs="仿宋_GB2312"/>
          <w:sz w:val="32"/>
          <w:szCs w:val="32"/>
        </w:rPr>
        <w:t>人次，其中上岗前检查</w:t>
      </w:r>
      <w:r>
        <w:rPr>
          <w:rFonts w:ascii="仿宋_GB2312" w:hAnsi="仿宋_GB2312" w:eastAsia="仿宋_GB2312" w:cs="仿宋_GB2312"/>
          <w:sz w:val="32"/>
          <w:szCs w:val="32"/>
        </w:rPr>
        <w:t>3209</w:t>
      </w:r>
      <w:r>
        <w:rPr>
          <w:rFonts w:hint="eastAsia" w:ascii="仿宋_GB2312" w:hAnsi="仿宋_GB2312" w:eastAsia="仿宋_GB2312" w:cs="仿宋_GB2312"/>
          <w:sz w:val="32"/>
          <w:szCs w:val="32"/>
        </w:rPr>
        <w:t>人次，</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完成职业病危害现状调查，摸清粉尘危害企业</w:t>
      </w:r>
      <w:r>
        <w:rPr>
          <w:rFonts w:ascii="仿宋_GB2312" w:hAnsi="仿宋_GB2312" w:eastAsia="仿宋_GB2312" w:cs="仿宋_GB2312"/>
          <w:sz w:val="32"/>
          <w:szCs w:val="32"/>
        </w:rPr>
        <w:t>154</w:t>
      </w:r>
      <w:r>
        <w:rPr>
          <w:rFonts w:hint="eastAsia" w:ascii="仿宋_GB2312" w:hAnsi="仿宋_GB2312" w:eastAsia="仿宋_GB2312" w:cs="仿宋_GB2312"/>
          <w:sz w:val="32"/>
          <w:szCs w:val="32"/>
        </w:rPr>
        <w:t>家，纳入专项治理范围的用人单位</w:t>
      </w:r>
      <w:r>
        <w:rPr>
          <w:rFonts w:ascii="仿宋_GB2312" w:hAnsi="仿宋_GB2312" w:eastAsia="仿宋_GB2312" w:cs="仿宋_GB2312"/>
          <w:sz w:val="32"/>
          <w:szCs w:val="32"/>
        </w:rPr>
        <w:t>59</w:t>
      </w:r>
      <w:r>
        <w:rPr>
          <w:rFonts w:hint="eastAsia" w:ascii="仿宋_GB2312" w:hAnsi="仿宋_GB2312" w:eastAsia="仿宋_GB2312" w:cs="仿宋_GB2312"/>
          <w:sz w:val="32"/>
          <w:szCs w:val="32"/>
        </w:rPr>
        <w:t>家，均已按要求进行了职业病危害项目申报。</w:t>
      </w:r>
    </w:p>
    <w:p>
      <w:pPr>
        <w:spacing w:line="360" w:lineRule="auto"/>
        <w:jc w:val="left"/>
        <w:rPr>
          <w:rFonts w:ascii="黑体" w:hAnsi="黑体" w:eastAsia="黑体" w:cs="黑体"/>
          <w:sz w:val="32"/>
          <w:szCs w:val="32"/>
        </w:rPr>
      </w:pPr>
      <w:r>
        <w:rPr>
          <w:rFonts w:hint="eastAsia" w:ascii="黑体" w:hAnsi="黑体" w:eastAsia="黑体" w:cs="黑体"/>
          <w:sz w:val="32"/>
          <w:szCs w:val="32"/>
        </w:rPr>
        <w:t>六、存在的主要问题</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在部门整体支出绩效评价过程中，绩效管理工作存在绩效指标量化不够，绩效评价手段和方法有待优化等问题。</w:t>
      </w:r>
    </w:p>
    <w:p>
      <w:pPr>
        <w:spacing w:line="360" w:lineRule="auto"/>
        <w:jc w:val="left"/>
        <w:rPr>
          <w:rFonts w:ascii="黑体" w:hAnsi="黑体" w:eastAsia="黑体" w:cs="黑体"/>
          <w:sz w:val="32"/>
          <w:szCs w:val="32"/>
        </w:rPr>
      </w:pPr>
      <w:r>
        <w:rPr>
          <w:rFonts w:hint="eastAsia" w:ascii="黑体" w:hAnsi="黑体" w:eastAsia="黑体" w:cs="黑体"/>
          <w:sz w:val="32"/>
          <w:szCs w:val="32"/>
        </w:rPr>
        <w:t>七、改进措施及有关建议</w:t>
      </w:r>
    </w:p>
    <w:p>
      <w:pPr>
        <w:wordWrap w:val="0"/>
        <w:topLinePunct/>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加强预算管理知识的学习，结合单位实际情况，吸取经验教训，为今后部门预算管理做好基础，合理有效的管理使用资金。同时建议上级部门加强对部门财政支出绩效评价管理工作的培训和指导，提高部门绩效自评质量。</w:t>
      </w:r>
    </w:p>
    <w:p>
      <w:pPr>
        <w:spacing w:line="360" w:lineRule="auto"/>
        <w:jc w:val="left"/>
        <w:rPr>
          <w:rFonts w:ascii="仿宋_GB2312" w:hAnsi="仿宋_GB2312" w:eastAsia="仿宋_GB2312" w:cs="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3DAE9"/>
    <w:multiLevelType w:val="singleLevel"/>
    <w:tmpl w:val="B5B3DAE9"/>
    <w:lvl w:ilvl="0" w:tentative="0">
      <w:start w:val="5"/>
      <w:numFmt w:val="chineseCounting"/>
      <w:suff w:val="nothing"/>
      <w:lvlText w:val="%1、"/>
      <w:lvlJc w:val="left"/>
      <w:rPr>
        <w:rFonts w:hint="eastAsia"/>
      </w:rPr>
    </w:lvl>
  </w:abstractNum>
  <w:abstractNum w:abstractNumId="1">
    <w:nsid w:val="E74E892E"/>
    <w:multiLevelType w:val="singleLevel"/>
    <w:tmpl w:val="E74E892E"/>
    <w:lvl w:ilvl="0" w:tentative="0">
      <w:start w:val="1"/>
      <w:numFmt w:val="chineseCounting"/>
      <w:suff w:val="nothing"/>
      <w:lvlText w:val="%1、"/>
      <w:lvlJc w:val="left"/>
      <w:rPr>
        <w:rFonts w:hint="eastAsia"/>
      </w:rPr>
    </w:lvl>
  </w:abstractNum>
  <w:abstractNum w:abstractNumId="2">
    <w:nsid w:val="17211EDA"/>
    <w:multiLevelType w:val="singleLevel"/>
    <w:tmpl w:val="17211EDA"/>
    <w:lvl w:ilvl="0" w:tentative="0">
      <w:start w:val="2"/>
      <w:numFmt w:val="decimal"/>
      <w:suff w:val="nothing"/>
      <w:lvlText w:val="（%1）"/>
      <w:lvlJc w:val="left"/>
    </w:lvl>
  </w:abstractNum>
  <w:abstractNum w:abstractNumId="3">
    <w:nsid w:val="2DD75676"/>
    <w:multiLevelType w:val="singleLevel"/>
    <w:tmpl w:val="2DD75676"/>
    <w:lvl w:ilvl="0" w:tentative="0">
      <w:start w:val="2"/>
      <w:numFmt w:val="chineseCounting"/>
      <w:suff w:val="nothing"/>
      <w:lvlText w:val="（%1）"/>
      <w:lvlJc w:val="left"/>
      <w:rPr>
        <w:rFonts w:hint="eastAsia"/>
      </w:rPr>
    </w:lvl>
  </w:abstractNum>
  <w:abstractNum w:abstractNumId="4">
    <w:nsid w:val="49578D64"/>
    <w:multiLevelType w:val="singleLevel"/>
    <w:tmpl w:val="49578D64"/>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ZDg1NTc0M2M1YTI3ZGJjYWIxNmNjY2FlNjNmYTQifQ=="/>
  </w:docVars>
  <w:rsids>
    <w:rsidRoot w:val="00547474"/>
    <w:rsid w:val="00547474"/>
    <w:rsid w:val="008012F6"/>
    <w:rsid w:val="00C74133"/>
    <w:rsid w:val="0149591D"/>
    <w:rsid w:val="0236249B"/>
    <w:rsid w:val="02873A20"/>
    <w:rsid w:val="02E2733D"/>
    <w:rsid w:val="02FB34BD"/>
    <w:rsid w:val="03367244"/>
    <w:rsid w:val="0374117C"/>
    <w:rsid w:val="03CC4359"/>
    <w:rsid w:val="042E4576"/>
    <w:rsid w:val="045E0CD1"/>
    <w:rsid w:val="04987EE6"/>
    <w:rsid w:val="05861293"/>
    <w:rsid w:val="05A31F35"/>
    <w:rsid w:val="05F34D5A"/>
    <w:rsid w:val="0729156C"/>
    <w:rsid w:val="07CB7EAE"/>
    <w:rsid w:val="08406C31"/>
    <w:rsid w:val="08A66CDE"/>
    <w:rsid w:val="08AB50E3"/>
    <w:rsid w:val="08B44A2C"/>
    <w:rsid w:val="08D67BE5"/>
    <w:rsid w:val="08E4111A"/>
    <w:rsid w:val="08F07999"/>
    <w:rsid w:val="091A104C"/>
    <w:rsid w:val="09993CB1"/>
    <w:rsid w:val="09B9674C"/>
    <w:rsid w:val="09EC0B84"/>
    <w:rsid w:val="09F90F54"/>
    <w:rsid w:val="0A387676"/>
    <w:rsid w:val="0A787207"/>
    <w:rsid w:val="0A9D0EF4"/>
    <w:rsid w:val="0AD009D7"/>
    <w:rsid w:val="0B5202B8"/>
    <w:rsid w:val="0B764C88"/>
    <w:rsid w:val="0B7D05CE"/>
    <w:rsid w:val="0B7D776F"/>
    <w:rsid w:val="0BBA2806"/>
    <w:rsid w:val="0BCB7EB7"/>
    <w:rsid w:val="0BDE3B23"/>
    <w:rsid w:val="0C1F7788"/>
    <w:rsid w:val="0C542B20"/>
    <w:rsid w:val="0CC30E59"/>
    <w:rsid w:val="0D314DA7"/>
    <w:rsid w:val="0D3B694B"/>
    <w:rsid w:val="0DAF5A3C"/>
    <w:rsid w:val="0DFB6475"/>
    <w:rsid w:val="0E4B127C"/>
    <w:rsid w:val="0E560986"/>
    <w:rsid w:val="0E7949F2"/>
    <w:rsid w:val="0E8119A4"/>
    <w:rsid w:val="0F41054D"/>
    <w:rsid w:val="0FD773DF"/>
    <w:rsid w:val="10315BD6"/>
    <w:rsid w:val="10BB0437"/>
    <w:rsid w:val="10E01B87"/>
    <w:rsid w:val="11053C2C"/>
    <w:rsid w:val="11C10807"/>
    <w:rsid w:val="11D4650F"/>
    <w:rsid w:val="11D61A61"/>
    <w:rsid w:val="11E01BF2"/>
    <w:rsid w:val="11F9401B"/>
    <w:rsid w:val="122E0308"/>
    <w:rsid w:val="12BE68EF"/>
    <w:rsid w:val="12BF769C"/>
    <w:rsid w:val="13154D3B"/>
    <w:rsid w:val="13835D01"/>
    <w:rsid w:val="14233FA7"/>
    <w:rsid w:val="143F564A"/>
    <w:rsid w:val="14DB4F32"/>
    <w:rsid w:val="1539340E"/>
    <w:rsid w:val="1599549B"/>
    <w:rsid w:val="1611173E"/>
    <w:rsid w:val="164D1B06"/>
    <w:rsid w:val="16BA052F"/>
    <w:rsid w:val="17800350"/>
    <w:rsid w:val="179A4613"/>
    <w:rsid w:val="17E63E72"/>
    <w:rsid w:val="18126803"/>
    <w:rsid w:val="187F00B1"/>
    <w:rsid w:val="18EB73A4"/>
    <w:rsid w:val="196C7E5E"/>
    <w:rsid w:val="198B1ADB"/>
    <w:rsid w:val="19926EAD"/>
    <w:rsid w:val="19BF20ED"/>
    <w:rsid w:val="1A035276"/>
    <w:rsid w:val="1AE86CF0"/>
    <w:rsid w:val="1AF73A2E"/>
    <w:rsid w:val="1B454A03"/>
    <w:rsid w:val="1BC82B29"/>
    <w:rsid w:val="1BD90C74"/>
    <w:rsid w:val="1C1767D9"/>
    <w:rsid w:val="1CAD53A8"/>
    <w:rsid w:val="1DB2444D"/>
    <w:rsid w:val="1E0C3C0E"/>
    <w:rsid w:val="1E1A2EDD"/>
    <w:rsid w:val="1E2A77AA"/>
    <w:rsid w:val="1E2B487B"/>
    <w:rsid w:val="1E3123A3"/>
    <w:rsid w:val="1E60021A"/>
    <w:rsid w:val="1F4F13BA"/>
    <w:rsid w:val="1FB93A75"/>
    <w:rsid w:val="201A14AF"/>
    <w:rsid w:val="2031062E"/>
    <w:rsid w:val="203B4F7E"/>
    <w:rsid w:val="20776082"/>
    <w:rsid w:val="208F2C9E"/>
    <w:rsid w:val="20905A8E"/>
    <w:rsid w:val="215E331A"/>
    <w:rsid w:val="21F06DDF"/>
    <w:rsid w:val="22181742"/>
    <w:rsid w:val="22303962"/>
    <w:rsid w:val="22AB7564"/>
    <w:rsid w:val="22F73A69"/>
    <w:rsid w:val="232353F7"/>
    <w:rsid w:val="2326719A"/>
    <w:rsid w:val="23385041"/>
    <w:rsid w:val="23F3683F"/>
    <w:rsid w:val="246E5BFB"/>
    <w:rsid w:val="24C319DA"/>
    <w:rsid w:val="257939C5"/>
    <w:rsid w:val="2671748A"/>
    <w:rsid w:val="26D8631A"/>
    <w:rsid w:val="27747285"/>
    <w:rsid w:val="27901111"/>
    <w:rsid w:val="2805265F"/>
    <w:rsid w:val="28190004"/>
    <w:rsid w:val="28BF6650"/>
    <w:rsid w:val="291663D8"/>
    <w:rsid w:val="298C31DB"/>
    <w:rsid w:val="2A1C1DFC"/>
    <w:rsid w:val="2AC966FC"/>
    <w:rsid w:val="2ACE0936"/>
    <w:rsid w:val="2ACE5993"/>
    <w:rsid w:val="2ADA7C14"/>
    <w:rsid w:val="2B802772"/>
    <w:rsid w:val="2BBB0C21"/>
    <w:rsid w:val="2C3005E6"/>
    <w:rsid w:val="2C923841"/>
    <w:rsid w:val="2C99779A"/>
    <w:rsid w:val="2CB0615B"/>
    <w:rsid w:val="2CD10806"/>
    <w:rsid w:val="2D365540"/>
    <w:rsid w:val="2E16176B"/>
    <w:rsid w:val="2EA3414A"/>
    <w:rsid w:val="2ECB7BF3"/>
    <w:rsid w:val="306C3B75"/>
    <w:rsid w:val="315F3308"/>
    <w:rsid w:val="316A4024"/>
    <w:rsid w:val="32801B0B"/>
    <w:rsid w:val="329878C6"/>
    <w:rsid w:val="33F044F7"/>
    <w:rsid w:val="3444304C"/>
    <w:rsid w:val="347F1647"/>
    <w:rsid w:val="35FD5C87"/>
    <w:rsid w:val="36241DA8"/>
    <w:rsid w:val="366624A2"/>
    <w:rsid w:val="36864405"/>
    <w:rsid w:val="36DF5C1F"/>
    <w:rsid w:val="37240985"/>
    <w:rsid w:val="38264187"/>
    <w:rsid w:val="38383B92"/>
    <w:rsid w:val="393F3CE3"/>
    <w:rsid w:val="39FE19FF"/>
    <w:rsid w:val="3A3139F4"/>
    <w:rsid w:val="3BD6262A"/>
    <w:rsid w:val="3BF15DD0"/>
    <w:rsid w:val="3C0D6DDF"/>
    <w:rsid w:val="3C4A63E3"/>
    <w:rsid w:val="3C66641E"/>
    <w:rsid w:val="3CDB27F0"/>
    <w:rsid w:val="3D0166B0"/>
    <w:rsid w:val="3D2F59AE"/>
    <w:rsid w:val="3D73224E"/>
    <w:rsid w:val="3DB62CD6"/>
    <w:rsid w:val="3DD6523B"/>
    <w:rsid w:val="3E48440B"/>
    <w:rsid w:val="3E94307A"/>
    <w:rsid w:val="3ED1415B"/>
    <w:rsid w:val="3EE12AB3"/>
    <w:rsid w:val="3F6A08EE"/>
    <w:rsid w:val="3F753FD3"/>
    <w:rsid w:val="3F756AF2"/>
    <w:rsid w:val="3F7E38D9"/>
    <w:rsid w:val="40367071"/>
    <w:rsid w:val="404562A2"/>
    <w:rsid w:val="41563326"/>
    <w:rsid w:val="419E769B"/>
    <w:rsid w:val="41EE4782"/>
    <w:rsid w:val="432E3EFE"/>
    <w:rsid w:val="434F74E9"/>
    <w:rsid w:val="43BE4E9D"/>
    <w:rsid w:val="449F1CBB"/>
    <w:rsid w:val="44A87F96"/>
    <w:rsid w:val="44DD1946"/>
    <w:rsid w:val="44F741E9"/>
    <w:rsid w:val="452651C3"/>
    <w:rsid w:val="456E7409"/>
    <w:rsid w:val="457F19B5"/>
    <w:rsid w:val="468F69A9"/>
    <w:rsid w:val="47162B63"/>
    <w:rsid w:val="47660415"/>
    <w:rsid w:val="478D2046"/>
    <w:rsid w:val="483A4131"/>
    <w:rsid w:val="486143BB"/>
    <w:rsid w:val="48C238BD"/>
    <w:rsid w:val="48F73B0D"/>
    <w:rsid w:val="48FA3E95"/>
    <w:rsid w:val="497C5334"/>
    <w:rsid w:val="49C06CBB"/>
    <w:rsid w:val="49E65F80"/>
    <w:rsid w:val="4A10503B"/>
    <w:rsid w:val="4B020D7A"/>
    <w:rsid w:val="4B1A71E4"/>
    <w:rsid w:val="4C4D2AB7"/>
    <w:rsid w:val="4D116580"/>
    <w:rsid w:val="4D3F4222"/>
    <w:rsid w:val="4D69282C"/>
    <w:rsid w:val="4D7E1CBB"/>
    <w:rsid w:val="4D9B391A"/>
    <w:rsid w:val="4DD07A77"/>
    <w:rsid w:val="4E846536"/>
    <w:rsid w:val="4EB831AC"/>
    <w:rsid w:val="4F607E69"/>
    <w:rsid w:val="502B2AB4"/>
    <w:rsid w:val="50EC2EEE"/>
    <w:rsid w:val="516351C7"/>
    <w:rsid w:val="51FA4F81"/>
    <w:rsid w:val="527E4F04"/>
    <w:rsid w:val="52E730F0"/>
    <w:rsid w:val="53B67854"/>
    <w:rsid w:val="541544D9"/>
    <w:rsid w:val="54962574"/>
    <w:rsid w:val="54A47A95"/>
    <w:rsid w:val="55A92464"/>
    <w:rsid w:val="55C84065"/>
    <w:rsid w:val="55CD0A85"/>
    <w:rsid w:val="563073D4"/>
    <w:rsid w:val="56AB44C6"/>
    <w:rsid w:val="56CE1551"/>
    <w:rsid w:val="56D64973"/>
    <w:rsid w:val="5704548C"/>
    <w:rsid w:val="5713610E"/>
    <w:rsid w:val="57334362"/>
    <w:rsid w:val="57566CF7"/>
    <w:rsid w:val="576106CF"/>
    <w:rsid w:val="582C2E0D"/>
    <w:rsid w:val="585669C3"/>
    <w:rsid w:val="58AE2F1E"/>
    <w:rsid w:val="59511771"/>
    <w:rsid w:val="595C17C9"/>
    <w:rsid w:val="59AF464B"/>
    <w:rsid w:val="59D3555F"/>
    <w:rsid w:val="59DE3CC1"/>
    <w:rsid w:val="5A082B65"/>
    <w:rsid w:val="5A315360"/>
    <w:rsid w:val="5A765403"/>
    <w:rsid w:val="5A95177F"/>
    <w:rsid w:val="5AC4375E"/>
    <w:rsid w:val="5AD22111"/>
    <w:rsid w:val="5BBA0697"/>
    <w:rsid w:val="5BDE50DE"/>
    <w:rsid w:val="5C22396A"/>
    <w:rsid w:val="5C432FD2"/>
    <w:rsid w:val="5C525AA1"/>
    <w:rsid w:val="5CB13E73"/>
    <w:rsid w:val="5D60658E"/>
    <w:rsid w:val="5D75125E"/>
    <w:rsid w:val="5DC7617B"/>
    <w:rsid w:val="5DF7536D"/>
    <w:rsid w:val="5E270FC0"/>
    <w:rsid w:val="5F1E7198"/>
    <w:rsid w:val="5F454802"/>
    <w:rsid w:val="5F806762"/>
    <w:rsid w:val="60E96498"/>
    <w:rsid w:val="614E7BBA"/>
    <w:rsid w:val="619A56CF"/>
    <w:rsid w:val="61B24D67"/>
    <w:rsid w:val="622C4DBF"/>
    <w:rsid w:val="623D4A60"/>
    <w:rsid w:val="62460526"/>
    <w:rsid w:val="62B43DC4"/>
    <w:rsid w:val="62C8313A"/>
    <w:rsid w:val="62C92546"/>
    <w:rsid w:val="62D47BC8"/>
    <w:rsid w:val="635D0A9F"/>
    <w:rsid w:val="6364366E"/>
    <w:rsid w:val="6378763B"/>
    <w:rsid w:val="63C608C1"/>
    <w:rsid w:val="63E42B18"/>
    <w:rsid w:val="64321E70"/>
    <w:rsid w:val="64490BF6"/>
    <w:rsid w:val="64FC0E17"/>
    <w:rsid w:val="65416BDE"/>
    <w:rsid w:val="65BA0CCA"/>
    <w:rsid w:val="65E019BE"/>
    <w:rsid w:val="661E4EFB"/>
    <w:rsid w:val="66256B79"/>
    <w:rsid w:val="66292D72"/>
    <w:rsid w:val="66631076"/>
    <w:rsid w:val="680119A3"/>
    <w:rsid w:val="68852F4C"/>
    <w:rsid w:val="68A2759D"/>
    <w:rsid w:val="68B2376D"/>
    <w:rsid w:val="69B71113"/>
    <w:rsid w:val="6ACD2F7A"/>
    <w:rsid w:val="6AE54AF2"/>
    <w:rsid w:val="6AE6385B"/>
    <w:rsid w:val="6B982420"/>
    <w:rsid w:val="6B9C17F2"/>
    <w:rsid w:val="6CCB0388"/>
    <w:rsid w:val="6CF87B17"/>
    <w:rsid w:val="6D5C4DF6"/>
    <w:rsid w:val="6D68124A"/>
    <w:rsid w:val="6D6F3CB6"/>
    <w:rsid w:val="6E77117A"/>
    <w:rsid w:val="6E9C0CB9"/>
    <w:rsid w:val="6ED45A37"/>
    <w:rsid w:val="6F362C81"/>
    <w:rsid w:val="6FCD5A9E"/>
    <w:rsid w:val="6FD479BD"/>
    <w:rsid w:val="6FE26E8F"/>
    <w:rsid w:val="706D68BE"/>
    <w:rsid w:val="71680D95"/>
    <w:rsid w:val="71A674D7"/>
    <w:rsid w:val="71C42946"/>
    <w:rsid w:val="720651D0"/>
    <w:rsid w:val="72691490"/>
    <w:rsid w:val="72B573F1"/>
    <w:rsid w:val="72EE20F0"/>
    <w:rsid w:val="72F660F9"/>
    <w:rsid w:val="73740801"/>
    <w:rsid w:val="742546FE"/>
    <w:rsid w:val="753F68CF"/>
    <w:rsid w:val="75C3579F"/>
    <w:rsid w:val="75CA3F51"/>
    <w:rsid w:val="76054963"/>
    <w:rsid w:val="762C4938"/>
    <w:rsid w:val="76D55BCB"/>
    <w:rsid w:val="774966FC"/>
    <w:rsid w:val="77CA372B"/>
    <w:rsid w:val="77CF3C98"/>
    <w:rsid w:val="77E81E1E"/>
    <w:rsid w:val="785C72A3"/>
    <w:rsid w:val="78852812"/>
    <w:rsid w:val="7936790F"/>
    <w:rsid w:val="794D43CE"/>
    <w:rsid w:val="79877076"/>
    <w:rsid w:val="79A56C45"/>
    <w:rsid w:val="79A77546"/>
    <w:rsid w:val="7A18633F"/>
    <w:rsid w:val="7A9A4EE6"/>
    <w:rsid w:val="7B5C5129"/>
    <w:rsid w:val="7BA4127C"/>
    <w:rsid w:val="7C000EF4"/>
    <w:rsid w:val="7C5C0118"/>
    <w:rsid w:val="7CCA5B1F"/>
    <w:rsid w:val="7D422F03"/>
    <w:rsid w:val="7D62373B"/>
    <w:rsid w:val="7DFC0F05"/>
    <w:rsid w:val="7E176F98"/>
    <w:rsid w:val="7ED2081C"/>
    <w:rsid w:val="7F1E1C77"/>
    <w:rsid w:val="7F432B7C"/>
    <w:rsid w:val="7FB4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kern w:val="0"/>
      <w:sz w:val="20"/>
      <w:szCs w:val="20"/>
    </w:rPr>
  </w:style>
  <w:style w:type="paragraph" w:styleId="4">
    <w:name w:val="annotation text"/>
    <w:basedOn w:val="1"/>
    <w:link w:val="13"/>
    <w:uiPriority w:val="0"/>
    <w:pPr>
      <w:jc w:val="left"/>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4"/>
    <w:next w:val="4"/>
    <w:link w:val="14"/>
    <w:uiPriority w:val="0"/>
    <w:rPr>
      <w:b/>
      <w:bCs/>
    </w:r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批注文字 字符"/>
    <w:basedOn w:val="10"/>
    <w:link w:val="4"/>
    <w:uiPriority w:val="0"/>
    <w:rPr>
      <w:kern w:val="2"/>
      <w:sz w:val="21"/>
      <w:szCs w:val="24"/>
    </w:rPr>
  </w:style>
  <w:style w:type="character" w:customStyle="1" w:styleId="14">
    <w:name w:val="批注主题 字符"/>
    <w:basedOn w:val="13"/>
    <w:link w:val="8"/>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5982</Words>
  <Characters>6666</Characters>
  <Lines>49</Lines>
  <Paragraphs>13</Paragraphs>
  <TotalTime>10</TotalTime>
  <ScaleCrop>false</ScaleCrop>
  <LinksUpToDate>false</LinksUpToDate>
  <CharactersWithSpaces>6679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2020-04-15T08:08:00Z</dcterms:created>
  <dc:creator>user</dc:creator>
  <cp:lastModifiedBy>user</cp:lastModifiedBy>
  <cp:lastPrinted>2021-07-09T02:40:00Z</cp:lastPrinted>
  <dcterms:modified xsi:type="dcterms:W3CDTF">2022-08-26T03:39:52Z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D4E8B9DA5B1042388991C359B31E93FD</vt:lpwstr>
  </property>
</Properties>
</file>