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6"/>
          <w:szCs w:val="36"/>
        </w:rPr>
        <w:t>项目绩效目标表</w:t>
      </w:r>
      <w:r>
        <w:rPr>
          <w:rFonts w:eastAsia="方正小标宋_GBK"/>
          <w:bCs/>
          <w:kern w:val="0"/>
          <w:sz w:val="36"/>
          <w:szCs w:val="36"/>
        </w:rPr>
        <w:br/>
      </w: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2019</w:t>
      </w:r>
      <w:r>
        <w:rPr>
          <w:rFonts w:eastAsia="楷体_GB2312"/>
          <w:kern w:val="0"/>
          <w:sz w:val="32"/>
          <w:szCs w:val="32"/>
        </w:rPr>
        <w:t xml:space="preserve"> 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填报单位（盖章）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</w:rPr>
              <w:t>农村危房改造项目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新增项目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□</w:t>
            </w: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 w:hAnsi="宋体"/>
                <w:kern w:val="0"/>
                <w:szCs w:val="21"/>
              </w:rPr>
              <w:t>延续项目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lang w:eastAsia="zh-CN"/>
              </w:rPr>
              <w:t>☑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宁乡市住建局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陈美华</w:t>
            </w: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13755153284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月起至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资金总额及构成</w:t>
            </w:r>
            <w:r>
              <w:rPr>
                <w:kern w:val="0"/>
                <w:szCs w:val="21"/>
              </w:rPr>
              <w:br/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总额：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560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  <w:p>
            <w:pPr>
              <w:widowControl/>
              <w:spacing w:line="280" w:lineRule="exact"/>
              <w:ind w:firstLine="2520" w:firstLineChars="1200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财政拨款：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957.5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222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735.5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二、自有资金：</w:t>
            </w:r>
            <w:r>
              <w:rPr>
                <w:rFonts w:hAnsi="宋体"/>
                <w:kern w:val="0"/>
                <w:szCs w:val="21"/>
              </w:rPr>
              <w:t xml:space="preserve">   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三、其他：</w:t>
            </w:r>
            <w:r>
              <w:rPr>
                <w:rFonts w:hAnsi="宋体"/>
                <w:kern w:val="0"/>
                <w:szCs w:val="21"/>
              </w:rPr>
              <w:t xml:space="preserve">  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420" w:firstLineChars="200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实施农村危房改造是贯彻落实科学发展观、构建社会主义和谐社会的一项重要惠民政策，是完善新型社会救助体系、确保农村困难家庭住者有其居的德政措施，更是确保困难群众生命财产安全，关乎民生福祉的一项重要工作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年按照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省、长沙市工作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要求，市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建局精心组织、全面推进农村危房改造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验收合格并拨付补助资金的401户</w:t>
            </w:r>
            <w:r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vAlign w:val="center"/>
          </w:tcPr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宁乡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农村危房改造工作由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农村危房改造工作领导小组办公室按照宁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住建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【201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号文要求统一部署实施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年我市农村危房改造工作切实解决了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改善了农村人居条件。农村危旧房数量逐年消减，困难群体特别是精准扶贫户人居条件得到有效改善，为我市的精准扶贫工作作出了重大贡献;农村面貌有所改善。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vAlign w:val="center"/>
          </w:tcPr>
          <w:p>
            <w:pPr>
              <w:widowControl w:val="0"/>
              <w:wordWrap/>
              <w:adjustRightInd/>
              <w:snapToGrid w:val="0"/>
              <w:spacing w:line="600" w:lineRule="exact"/>
              <w:ind w:left="0" w:leftChars="0" w:right="0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危旧房实施建新拆旧，美化了农村环境，提高了农村生活水平;同时推动了和谐社会建设，农村危房改造让农村困难群体共享了改革发展成果，增强了农村困难群体建设美好家园的信心，密切了党群、干群关系，促进了社会和谐。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hAnsi="宋体"/>
                <w:kern w:val="0"/>
                <w:szCs w:val="21"/>
              </w:rPr>
              <w:t>总体概念规划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2019.1.1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2019.12.31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hAnsi="宋体"/>
                <w:kern w:val="0"/>
                <w:szCs w:val="21"/>
              </w:rPr>
              <w:t>、核心区规划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1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维持机关工作正常运转，履行单位职责需要。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 w:val="0"/>
              <w:wordWrap/>
              <w:adjustRightInd/>
              <w:snapToGrid w:val="0"/>
              <w:spacing w:line="600" w:lineRule="exact"/>
              <w:ind w:left="0" w:leftChars="0" w:right="0" w:firstLine="420" w:firstLineChars="200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危旧房实施建新拆旧，美化了农村环境，提高了农村生活水平;同时推动了和谐社会建设，农村危房改造让农村困难群体共享了改革发展成果，增强了农村困难群体建设美好家园的信心，密切了党群、干群关系，促进了社会和谐。</w:t>
            </w:r>
          </w:p>
          <w:p>
            <w:pPr>
              <w:widowControl/>
              <w:spacing w:line="280" w:lineRule="exact"/>
              <w:jc w:val="both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957.5万元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957.5万元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957.5万元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957.5万元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 w:hAnsi="宋体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满意率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  <w:r>
              <w:rPr>
                <w:rFonts w:hint="eastAsia" w:hAnsi="宋体"/>
                <w:kern w:val="0"/>
                <w:szCs w:val="21"/>
                <w:lang w:eastAsia="zh-CN"/>
              </w:rPr>
              <w:t>满意率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957.5万元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957.5万元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957.5万元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957.5万元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  <w:r>
              <w:rPr>
                <w:kern w:val="0"/>
                <w:szCs w:val="21"/>
              </w:rPr>
              <w:br/>
            </w: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eastAsia="zh-CN"/>
              </w:rPr>
              <w:t>满意率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rFonts w:hint="eastAsia"/>
                <w:kern w:val="0"/>
                <w:szCs w:val="21"/>
                <w:lang w:eastAsia="zh-CN"/>
              </w:rPr>
              <w:t>满意率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1470" w:firstLineChars="7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</w:p>
          <w:p>
            <w:pPr>
              <w:spacing w:line="280" w:lineRule="exact"/>
              <w:ind w:left="506" w:leftChars="241" w:firstLine="945" w:firstLineChars="4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0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填报日期：</w:t>
      </w:r>
      <w:r>
        <w:rPr>
          <w:kern w:val="0"/>
          <w:szCs w:val="21"/>
        </w:rPr>
        <w:tab/>
      </w:r>
    </w:p>
    <w:p>
      <w:pPr>
        <w:spacing w:line="540" w:lineRule="exac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76107325">
    <w:nsid w:val="3A2E373D"/>
    <w:multiLevelType w:val="multilevel"/>
    <w:tmpl w:val="3A2E373D"/>
    <w:lvl w:ilvl="0" w:tentative="1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9761073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qFormat="1" w:unhideWhenUsed="0" w:uiPriority="99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paragraph" w:styleId="2">
    <w:name w:val="Body Text"/>
    <w:basedOn w:val="1"/>
    <w:next w:val="3"/>
    <w:qFormat/>
    <w:uiPriority w:val="99"/>
  </w:style>
  <w:style w:type="paragraph" w:styleId="3">
    <w:name w:val="toc 5"/>
    <w:basedOn w:val="1"/>
    <w:next w:val="1"/>
    <w:qFormat/>
    <w:locked/>
    <w:uiPriority w:val="99"/>
    <w:pPr>
      <w:ind w:left="1680" w:leftChars="800"/>
    </w:pPr>
    <w:rPr>
      <w:rFonts w:ascii="Times New Roman" w:hAnsi="Times New Roman"/>
    </w:rPr>
  </w:style>
  <w:style w:type="paragraph" w:styleId="4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4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303</Words>
  <Characters>1730</Characters>
  <Lines>0</Lines>
  <Paragraphs>0</Paragraphs>
  <ScaleCrop>false</ScaleCrop>
  <LinksUpToDate>false</LinksUpToDate>
  <CharactersWithSpaces>0</CharactersWithSpaces>
  <Application>WPS Office 个人版_9.1.0.4793_{F1E327BC-269C-435d-A152-05C5408002CA}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2020-07-13T02:44:00Z</dcterms:created>
  <dc:creator>User</dc:creator>
  <cp:lastModifiedBy>Administrator</cp:lastModifiedBy>
  <cp:lastPrinted>2020-07-15T06:05:00Z</cp:lastPrinted>
  <dcterms:modified xsi:type="dcterms:W3CDTF">2021-06-04T09:33:07Z</dcterms:modified>
  <dc:title>项目绩效目标申报表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