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附件3-3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宁乡市自然资源局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部门整体支出绩效自评报告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一、部门概况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（一）部门基本情况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、在职人员情况。纳入本次部门整体支出绩效自评单位包括自然资源局机关本级、宁乡市国土规划技术服务中心、不动产登记中心、国土资源市场管理中心、信息中心、国土资源监察执法大队含规划执法监察大队及玉潭自然资源所。编制数221人，2021年实际在职人数353人（其中行政人员26人，参照公务员法管理人员5人，非参公事业人员322人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、机构设置。宁乡市自然资源局作为市政府的直属行政管理职能部门，为全额拨款行政单位。内设科室15个，分别为：办公室、人事科、财务科、内审科、政策法规科、行政审批服务科、国土空间用途管制科、自然资源权益科、开发利用和耕地保护科、征地拆迁管理科、自然资源权籍管理科、地理信息管理科、生态修复和矿产管理科、国土空间规划科、规划管理科；下设1个直属分局；11个二级单位和29个乡(镇、街道)自然资源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3、主要职能。宁乡市自然资源局负责全市国土资源管理、承担全市城乡规划管理工作、地质灾害应急处置、不动产统一登记及测绘行业管理等。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（二）部门整体支出规模、使用方向和主要内容、涉及范围等。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2021年度，部门整体支出11907.71万元，其中基本支出7032.05万元，基本支出主要用于人员工资福利支出及单位运行维护。项目支出4875.66万元。主要用于单位开展相关项目所需费用支出。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二、部门整体支出管理及使用情况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（一）基本支出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基本支出是保障本单位正常运转、完成日常工作任务的支出，主要包括人员经费支出和日常公用经费支出。本单位2021年基本支出7032.05万元。其中：工资福利支出 6177.86  万元、商品和服务支出 631.28万元、对个人和家庭的补助222.91万元。资金的管理情况：本单位严格执行国家财经法律法规和内部财务财产管理制度，控制和规范管理经费支出，提高资金使用效益。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“三公”经费的使用和管理情况。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1、2021 年 “三公”经费预算情况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本单位2021年“三公”经费预算金额为215万元，其中公务用车运行维护费144万元；公务接待费71万元。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2、2021 年 “三公”经费预算执行情况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本单位2021年“三公”经费决算金额为49.01 万元，其中公务用车运行维护费35.73 万元；公务接待费13.28万元。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本年度“三公”经费较上年下降56.35万元，下降53.48%。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（二）项目支出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1、项目资金（包括财政资金、自筹资金等）安排落实、总投入等情况分析。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本单位项目支出:财政资金2021年预算数1736万元。其中一般性项目支出财政资金2021年预算数900.00万元含不动产业务经费100.00万元；项目化项目支出预算数为836万元(突发地灾应急处理及巡查监管专项215.00万元，土地调查及利用规划管理专项128.00万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存量用地清理及建设用地基准地价专项50万元,规划编制经费及市民馆运行443万元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），实际项目支出财政拨款4272.21万元，其他资金603.45万元，资金到位率100%。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2、项目资金（主要指财政资金）实际使用情况分析。</w:t>
      </w:r>
    </w:p>
    <w:p>
      <w:pPr>
        <w:spacing w:line="600" w:lineRule="exact"/>
        <w:ind w:firstLine="627" w:firstLineChars="196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2021年本单位财政资金项目支出决算数为4272.21万元，均为业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务工作项目。一般性项目支出财政资金989.67万元，含不动产业务经费，及人员退役抚恤等经费支出；项目化项目支出：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城乡规划编制469.21万元，镇村国土空间规划编制568.02万元，突发地灾应急处理及巡查监管专项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196.34万元，土地调查及利用规划管理专项42万元，存量用地清理及建设用地基准地价专项50万元，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不动产存量登记数据整合158.96万元，宁乡市城市总体规划（2020-2035年）139.35万元，智慧宁乡地理信息系统15.24万元，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第三次国土调查502.91万元，农村乱占耕地建房问题336.04万元，北斗地灾监测预警系统380万元，地质灾害防治智慧西部副中心105.59万元，地质灾害应急处理资金318.87万元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项目资金管理情况分析，主要包括管理制度、办法的制订及执行情况。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黑体" w:cs="宋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本单位严格按照《关于进一步规范专项业务工作经费管理的通知》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、宁乡市财政局相关文件、宁乡市自然资源局财务管理制度进行项目资金管理。项目支出均有相关的授权审批，资金拨付严格审批程序，三重一大支付严格执行会议决定。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三、部门项目组织实施情况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spacing w:line="600" w:lineRule="exac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（一）项目组织情况分析，主要包括项目招投标、调整、竣工验收等情况。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严格按照政府采购流程进行。在制定项目计划的基础上，对项目需组织财评材料报财评中心审定采购价格。根据政府采购要求采取竞争性谈判（或公开招投标），谈判（招标）结束后选定中标单位。</w:t>
      </w:r>
    </w:p>
    <w:p>
      <w:pPr>
        <w:spacing w:line="600" w:lineRule="exact"/>
        <w:ind w:firstLine="627" w:firstLineChars="196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与中标单位签订服务合同，根据合同进度进行付款。</w:t>
      </w:r>
    </w:p>
    <w:p>
      <w:pPr>
        <w:spacing w:line="600" w:lineRule="exact"/>
        <w:ind w:firstLine="627" w:firstLineChars="196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通过审查后组织项目验收，验收成果按规范要求入库。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（二）项目管理情况分析，主要包括项目管理制度建设、日常检查监督管理等情况。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项目支出均按照有关规章制度和项目实施完成情况进行支付。 并建立相关的管理制度，有专人负责，项目进行时有负责人及时跟踪项目实施情况，并及时提出意见和建议。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四、资产管理情况 </w:t>
      </w:r>
    </w:p>
    <w:p>
      <w:pPr>
        <w:spacing w:line="600" w:lineRule="exact"/>
        <w:ind w:firstLine="627" w:firstLineChars="196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本单位按照国有资产管理工作要求，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完善了资产管理方面相关管理制度，配备专人负责</w:t>
      </w:r>
      <w:r>
        <w:rPr>
          <w:rFonts w:hint="eastAsia" w:ascii="仿宋_GB2312" w:hAnsi="楷体" w:eastAsia="仿宋_GB2312"/>
          <w:kern w:val="0"/>
          <w:sz w:val="32"/>
          <w:szCs w:val="32"/>
        </w:rPr>
        <w:t>国有资产管理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系统管理工作，认真开展国有资产清查工作。国有资产购置、处置等严格按照上级规定、依程序进行。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五、部门整体支出绩效情况 </w:t>
      </w:r>
    </w:p>
    <w:p>
      <w:pPr>
        <w:spacing w:line="600" w:lineRule="exact"/>
        <w:ind w:firstLine="470" w:firstLineChars="196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全面落实中央、省、长沙市和市委市政府自然资源管理工作要求，突出规划引领、强化要素保障、守住生态底线、办好民生实事，为奋力实施“三高四新”战略、全面建设“工业强市、幸福宁乡”作出了积极贡献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根据《部门整体支出绩效评价指标》评分，得分92分（详见附表3-1）。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宁乡市自然资源局</w:t>
      </w:r>
      <w:r>
        <w:rPr>
          <w:rFonts w:hint="eastAsia" w:ascii="Times New Roman" w:hAnsi="Times New Roman" w:eastAsia="仿宋_GB2312"/>
          <w:sz w:val="32"/>
          <w:szCs w:val="32"/>
        </w:rPr>
        <w:t>工作完成情况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全面优空间提品质。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加快编制</w:t>
      </w:r>
      <w:r>
        <w:rPr>
          <w:rFonts w:hint="eastAsia" w:ascii="楷体_GB2312" w:hAnsi="黑体" w:eastAsia="仿宋_GB2312" w:cs="楷体_GB2312"/>
          <w:bCs/>
          <w:sz w:val="32"/>
          <w:szCs w:val="32"/>
        </w:rPr>
        <w:t>宁乡市国土空间总体规划，完成上轮规划实施评估、资源环境承载力评价和国土空间开发适宜性评价，模拟划定“三线”，完成了主体成果初步方案，</w:t>
      </w:r>
      <w:r>
        <w:rPr>
          <w:rFonts w:hint="eastAsia" w:ascii="仿宋_GB2312" w:hAnsi="仿宋_GB2312" w:eastAsia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Times New Roman"/>
          <w:sz w:val="32"/>
          <w:szCs w:val="32"/>
        </w:rPr>
        <w:t>重点地段规划和城市设计研究，推动重大项目的规划研究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先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后启动</w:t>
      </w:r>
      <w:r>
        <w:rPr>
          <w:rFonts w:hint="eastAsia" w:ascii="仿宋_GB2312" w:hAnsi="Calibri" w:eastAsia="仿宋_GB2312" w:cs="Times New Roman"/>
          <w:sz w:val="32"/>
          <w:szCs w:val="32"/>
        </w:rPr>
        <w:t>16个专项规划，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指导了全市各项公共服务、市政等设施的规划建设工作。全面启动全市25个镇（乡）国土空间规划和245个村庄规划编制工作，目前2个乡镇完成初步成果、其余23个完成初步方案，39个村村庄规划获批复、其余206个村完成初步方案。</w:t>
      </w:r>
    </w:p>
    <w:p>
      <w:pPr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全面强保障促发展。</w:t>
      </w:r>
      <w:r>
        <w:rPr>
          <w:rFonts w:hint="eastAsia" w:ascii="仿宋_GB2312" w:hAnsi="Calibri" w:eastAsia="仿宋_GB2312" w:cs="Times New Roman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Calibri" w:eastAsia="仿宋_GB2312" w:cs="Times New Roman"/>
          <w:sz w:val="32"/>
          <w:szCs w:val="32"/>
        </w:rPr>
        <w:t>个集体土地征拆项目，拆除房屋698栋937户、面积20.1万平方米。</w:t>
      </w:r>
      <w:r>
        <w:rPr>
          <w:rFonts w:hint="eastAsia" w:ascii="仿宋_GB2312" w:eastAsia="仿宋_GB2312"/>
          <w:sz w:val="32"/>
          <w:szCs w:val="32"/>
        </w:rPr>
        <w:t>获批建设用地</w:t>
      </w:r>
      <w:r>
        <w:rPr>
          <w:rFonts w:hint="eastAsia" w:ascii="仿宋_GB2312" w:hAnsi="Calibri" w:eastAsia="仿宋_GB2312" w:cs="Times New Roman"/>
          <w:sz w:val="32"/>
          <w:szCs w:val="32"/>
        </w:rPr>
        <w:t>6291亩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成交土地7195亩，成交价款99.38亿元；出让土地9208亩，出让总价款</w:t>
      </w:r>
      <w:r>
        <w:rPr>
          <w:rFonts w:hint="eastAsia" w:ascii="仿宋_GB2312" w:eastAsia="仿宋_GB2312" w:cs="Times New Roman"/>
          <w:sz w:val="32"/>
          <w:szCs w:val="32"/>
        </w:rPr>
        <w:t>124.51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亿元</w:t>
      </w:r>
      <w:r>
        <w:rPr>
          <w:rFonts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实行“耕地补充指标的唯一提供者”改革，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以省公共资源交易平台最低价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异地</w:t>
      </w:r>
      <w:r>
        <w:rPr>
          <w:rFonts w:ascii="Times New Roman" w:hAnsi="Times New Roman" w:eastAsia="仿宋_GB2312" w:cs="Times New Roman"/>
          <w:sz w:val="32"/>
          <w:szCs w:val="32"/>
        </w:rPr>
        <w:t>购买耕地指标1000亩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水田规模指标1000亩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粮食产能400万公斤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节约财政资金1000余万元。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全面护资源正秩序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综合运用行政、法律、经济手段加强“月清三地”整治。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先后牵头开展乱占耕地集中专项整治和耕地保护“三集中”行动，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拆违，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复绿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年相比，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年我市违法图斑数量下降</w:t>
      </w:r>
      <w:r>
        <w:rPr>
          <w:rFonts w:ascii="Times New Roman" w:hAnsi="Times New Roman" w:eastAsia="仿宋_GB2312" w:cs="Times New Roman"/>
          <w:sz w:val="32"/>
          <w:szCs w:val="32"/>
        </w:rPr>
        <w:t>76.57%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，违法面积下降</w:t>
      </w:r>
      <w:r>
        <w:rPr>
          <w:rFonts w:ascii="Times New Roman" w:hAnsi="Times New Roman" w:eastAsia="仿宋_GB2312" w:cs="Times New Roman"/>
          <w:sz w:val="32"/>
          <w:szCs w:val="32"/>
        </w:rPr>
        <w:t>83.31%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，违法耕地面积下降</w:t>
      </w:r>
      <w:r>
        <w:rPr>
          <w:rFonts w:ascii="Times New Roman" w:hAnsi="Times New Roman" w:eastAsia="仿宋_GB2312" w:cs="Times New Roman"/>
          <w:sz w:val="32"/>
          <w:szCs w:val="32"/>
        </w:rPr>
        <w:t>92.1%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，违法耕地面积占比下降</w:t>
      </w:r>
      <w:r>
        <w:rPr>
          <w:rFonts w:ascii="Times New Roman" w:hAnsi="Times New Roman" w:eastAsia="仿宋_GB2312" w:cs="Times New Roman"/>
          <w:sz w:val="32"/>
          <w:szCs w:val="32"/>
        </w:rPr>
        <w:t>84.89%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全面办实事惠民生。</w:t>
      </w:r>
      <w:r>
        <w:rPr>
          <w:rFonts w:hint="eastAsia" w:ascii="仿宋_GB2312" w:eastAsia="仿宋_GB2312"/>
          <w:sz w:val="32"/>
          <w:szCs w:val="32"/>
        </w:rPr>
        <w:t>通过新建自然资源一站式审批平台，预告登记、预告抵押登记“全程网办”，近五成不动产审批业务全程“不见面审批”，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二手房交易实现水电气联动过户全程线上一次办，最快仅需10分钟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智慧宁乡地理信息系统工程，打造服务自然资源“两统一”职责履行和“审批+监管+决策”全过程、全生命周期管理的“一库、一图、一平台”，为全面提升我市自然资源治理能力，高质量建设“数字政府”“智慧城市”奠定坚实基础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六、存在的主要问题 </w:t>
      </w:r>
    </w:p>
    <w:p>
      <w:pPr>
        <w:spacing w:line="600" w:lineRule="exact"/>
        <w:ind w:firstLine="470" w:firstLineChars="196"/>
        <w:jc w:val="left"/>
        <w:rPr>
          <w:rFonts w:hint="default" w:eastAsiaTheme="minorEastAsia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工作</w:t>
      </w:r>
      <w:r>
        <w:rPr>
          <w:rFonts w:hint="eastAsia" w:ascii="仿宋_GB2312" w:eastAsia="仿宋_GB2312"/>
          <w:sz w:val="32"/>
          <w:szCs w:val="32"/>
        </w:rPr>
        <w:t>任务量大，守住耕地红线的压力大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用地全生命周期管理有待持续加强。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单位人员配备有限，资产配置方面，因单位专业性较强，存在使用期限相对较长的电脑，或配置不配比，运行缓慢，影响工作效率。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七、改进措施和有关建议 </w:t>
      </w:r>
    </w:p>
    <w:p>
      <w:pPr>
        <w:ind w:firstLine="640" w:firstLineChars="200"/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提高政府采购专业性电脑配置金额标准。充分利用社会技术力量。建议通过招聘专业技术顾问、高级雇员等形式，充分吸引高校及设计单位的高端专业技术人员进行服务。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00F3"/>
    <w:rsid w:val="09BE7A04"/>
    <w:rsid w:val="0F6300F3"/>
    <w:rsid w:val="38F12169"/>
    <w:rsid w:val="420A6ECD"/>
    <w:rsid w:val="6F7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2962</Words>
  <Characters>3265</Characters>
  <Lines>0</Lines>
  <Paragraphs>0</Paragraphs>
  <TotalTime>1</TotalTime>
  <ScaleCrop>false</ScaleCrop>
  <LinksUpToDate>false</LinksUpToDate>
  <CharactersWithSpaces>3294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2022-03-11T03:53:00Z</dcterms:created>
  <dc:creator>Administrator</dc:creator>
  <cp:lastModifiedBy>Administrator</cp:lastModifiedBy>
  <dcterms:modified xsi:type="dcterms:W3CDTF">2022-03-29T01:31:03Z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881C69439747492DBA0173D26C0B6FC6</vt:lpwstr>
  </property>
</Properties>
</file>