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20"/>
          <w:sz w:val="44"/>
          <w:szCs w:val="44"/>
          <w14:textFill>
            <w14:solidFill>
              <w14:schemeClr w14:val="tx1"/>
            </w14:solidFill>
          </w14:textFill>
        </w:rPr>
        <w:t>中共宁乡市委网络安全和信息化委员会办公室</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2020年部门整体支出绩效自评报告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rPr>
          <w:rFonts w:hint="eastAsia" w:ascii="黑体" w:hAnsi="黑体" w:eastAsia="黑体" w:cs="黑体"/>
          <w:b/>
          <w:bCs/>
          <w:color w:val="000000" w:themeColor="text1"/>
          <w:sz w:val="32"/>
          <w:szCs w:val="32"/>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一、部门概况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1.职能职责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i w:val="0"/>
          <w:iCs w:val="0"/>
          <w:caps w:val="0"/>
          <w:color w:val="333333"/>
          <w:spacing w:val="0"/>
          <w:sz w:val="30"/>
          <w:szCs w:val="30"/>
        </w:rPr>
        <w:t>（</w:t>
      </w: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1）负责处理市委网络安全和信息化委员会日常事务工作，组织实施网络意识形态工作责任制和网络安全责任制考核。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（2）协调推进全市网络安全和信息化法治建设。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（3）负责全市互联网信息内容管理，统筹协调组织互联网宣传管理和舆论引导工作，维护互联网意识形态安全。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（4）负责指导协调全市网络舆情信息工作。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（5）推动全市网络阵地建设，指导属地新闻网站建设，会同有关部门推动传统媒体和新兴媒体融合发展。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（6）推动属地网络社会工作和网络文化、网络宣传、网络志愿服务建设。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（7）贯彻落实互联网信息服务资本准入和信息网络行业安全审查的有关政策。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（8）指导全市党政部门、重点行业网络安全保障和信息化工作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（9）组织推动全市网络安全和信息化人才建设，建立健全网信队伍。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楷体_GB2312" w:cs="宋体"/>
          <w:b/>
          <w:sz w:val="32"/>
          <w:szCs w:val="32"/>
          <w:lang w:val="en-US" w:eastAsia="zh-CN"/>
        </w:rPr>
      </w:pPr>
      <w:r>
        <w:rPr>
          <w:rFonts w:hint="eastAsia" w:ascii="仿宋_GB2312" w:hAnsi="仿宋_GB2312" w:eastAsia="楷体_GB2312" w:cs="宋体"/>
          <w:b/>
          <w:sz w:val="32"/>
          <w:szCs w:val="32"/>
          <w:lang w:val="en-US" w:eastAsia="zh-CN"/>
        </w:rPr>
        <w:t>2.机构设置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 w:hAnsi="仿宋" w:eastAsia="仿宋" w:cs="仿宋"/>
          <w:i w:val="0"/>
          <w:iCs w:val="0"/>
          <w:caps w:val="0"/>
          <w:color w:val="333333"/>
          <w:spacing w:val="0"/>
          <w:sz w:val="30"/>
          <w:szCs w:val="30"/>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（1）内设机构设置。</w:t>
      </w: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市委网信办于2019年3月成立，为市委正科级工作机关，内设科室3个，下设二级机构1个。</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center"/>
        <w:rPr>
          <w:rFonts w:hint="eastAsia" w:ascii="仿宋" w:hAnsi="仿宋" w:eastAsia="仿宋" w:cs="仿宋"/>
          <w:i w:val="0"/>
          <w:iCs w:val="0"/>
          <w:caps w:val="0"/>
          <w:color w:val="333333"/>
          <w:spacing w:val="0"/>
          <w:sz w:val="30"/>
          <w:szCs w:val="30"/>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（2）决算单位构成。</w:t>
      </w: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我办是独立核算的一级预算单位，无下属独立核算二级机构。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楷体_GB2312" w:cs="宋体"/>
          <w:b/>
          <w:sz w:val="32"/>
          <w:szCs w:val="32"/>
          <w:lang w:val="en-US" w:eastAsia="zh-CN"/>
        </w:rPr>
      </w:pPr>
      <w:r>
        <w:rPr>
          <w:rFonts w:hint="eastAsia" w:ascii="仿宋_GB2312" w:hAnsi="仿宋_GB2312" w:eastAsia="楷体_GB2312" w:cs="宋体"/>
          <w:b/>
          <w:sz w:val="32"/>
          <w:szCs w:val="32"/>
          <w:lang w:val="en-US" w:eastAsia="zh-CN"/>
        </w:rPr>
        <w:t>3.年度重点工作计划：</w:t>
      </w:r>
    </w:p>
    <w:p>
      <w:pPr>
        <w:spacing w:line="560" w:lineRule="exact"/>
        <w:ind w:firstLine="643" w:firstLineChars="200"/>
        <w:jc w:val="both"/>
        <w:rPr>
          <w:rFonts w:hint="eastAsia" w:ascii="Times New Roman" w:hAnsi="Times New Roman" w:eastAsia="仿宋_GB2312" w:cs="仿宋_GB2312"/>
          <w:sz w:val="30"/>
          <w:szCs w:val="30"/>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（1）做大做强网络正面宣传。</w:t>
      </w:r>
      <w:r>
        <w:rPr>
          <w:rFonts w:hint="eastAsia" w:ascii="Times New Roman" w:hAnsi="Times New Roman" w:eastAsia="仿宋_GB2312" w:cs="仿宋_GB2312"/>
          <w:sz w:val="30"/>
          <w:szCs w:val="30"/>
        </w:rPr>
        <w:t>加强网络内容建设，认真做好决胜全面建成小康社会、决战脱贫攻坚、四城同创、产业项目建设、优化营商环境、</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大干一百天，实现</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双过半</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大竞赛</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等市委市政府中心工作的专题宣传，讲好宁乡故事、传递宁乡声音。加强议题设置，吸引自媒体和网民参与互动，形成共振，实现城市品牌海量传播，为全市经济社会发展提供强有力舆论支持。加强网络阵地建设，提升宁视界、这里是宁乡、宁乡发布等市属新媒体平台传播力和影响力，优化以融媒体中心为龙头的政务新媒体矩阵，更好引导群众、服务群众。壮大宁乡新媒体协会，不断吸纳新会员，加强与行业自媒体、网络名人沟通联络，创新开展志愿服务活动，凝聚网上网下正能量。</w:t>
      </w:r>
    </w:p>
    <w:p>
      <w:pPr>
        <w:spacing w:line="560" w:lineRule="exact"/>
        <w:ind w:firstLine="643" w:firstLineChars="200"/>
        <w:jc w:val="both"/>
        <w:rPr>
          <w:rFonts w:hint="eastAsia" w:ascii="Times New Roman" w:hAnsi="Times New Roman" w:eastAsia="仿宋_GB2312" w:cs="Times New Roman"/>
          <w:sz w:val="30"/>
          <w:szCs w:val="30"/>
          <w:lang w:eastAsia="zh-CN"/>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（2）加强网络综合治理。</w:t>
      </w:r>
      <w:r>
        <w:rPr>
          <w:rFonts w:hint="eastAsia" w:ascii="Times New Roman" w:hAnsi="Times New Roman" w:eastAsia="仿宋_GB2312" w:cs="仿宋_GB2312"/>
          <w:sz w:val="30"/>
          <w:szCs w:val="30"/>
        </w:rPr>
        <w:t>开展</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净网</w:t>
      </w:r>
      <w:r>
        <w:rPr>
          <w:rFonts w:ascii="Times New Roman" w:hAnsi="Times New Roman" w:eastAsia="仿宋_GB2312" w:cs="Times New Roman"/>
          <w:sz w:val="30"/>
          <w:szCs w:val="30"/>
        </w:rPr>
        <w:t>2020”</w:t>
      </w:r>
      <w:r>
        <w:rPr>
          <w:rFonts w:hint="eastAsia" w:ascii="Times New Roman" w:hAnsi="Times New Roman" w:eastAsia="仿宋_GB2312" w:cs="仿宋_GB2312"/>
          <w:sz w:val="30"/>
          <w:szCs w:val="30"/>
        </w:rPr>
        <w:t>行动，依法惩处各类利用网络寻衅滋事人员、约谈训诫各类违规发布信息的平台负责人。开设互联网违法和不良信息举报平台，接受互联网上涉及宁乡或属地网站、自媒体存在的违法和不良信息举报。做好网上群众工作，走好网上群众路线，确保网友关切及时得到回应</w:t>
      </w:r>
      <w:r>
        <w:rPr>
          <w:rFonts w:hint="eastAsia" w:ascii="Times New Roman" w:hAnsi="Times New Roman" w:eastAsia="仿宋_GB2312" w:cs="仿宋_GB2312"/>
          <w:sz w:val="30"/>
          <w:szCs w:val="30"/>
          <w:lang w:eastAsia="zh-CN"/>
        </w:rPr>
        <w:t>。</w:t>
      </w:r>
    </w:p>
    <w:p>
      <w:pPr>
        <w:spacing w:line="560" w:lineRule="exact"/>
        <w:ind w:firstLine="643" w:firstLineChars="200"/>
        <w:jc w:val="both"/>
        <w:rPr>
          <w:rFonts w:hint="eastAsia" w:ascii="Times New Roman" w:hAnsi="Times New Roman" w:eastAsia="仿宋_GB2312" w:cs="仿宋_GB2312"/>
          <w:sz w:val="30"/>
          <w:szCs w:val="30"/>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（3）全力保障网络安全。</w:t>
      </w:r>
      <w:r>
        <w:rPr>
          <w:rFonts w:hint="eastAsia" w:ascii="Times New Roman" w:hAnsi="Times New Roman" w:eastAsia="仿宋_GB2312" w:cs="仿宋_GB2312"/>
          <w:sz w:val="30"/>
          <w:szCs w:val="30"/>
        </w:rPr>
        <w:t>开展网络安全工作大检查，压实</w:t>
      </w:r>
      <w:r>
        <w:rPr>
          <w:rFonts w:hint="eastAsia" w:ascii="Times New Roman" w:hAnsi="Times New Roman" w:eastAsia="仿宋_GB2312" w:cs="仿宋_GB2312"/>
          <w:sz w:val="30"/>
          <w:szCs w:val="30"/>
          <w:lang w:eastAsia="zh-CN"/>
        </w:rPr>
        <w:t>各单位</w:t>
      </w:r>
      <w:r>
        <w:rPr>
          <w:rFonts w:hint="eastAsia" w:ascii="Times New Roman" w:hAnsi="Times New Roman" w:eastAsia="仿宋_GB2312" w:cs="仿宋_GB2312"/>
          <w:sz w:val="30"/>
          <w:szCs w:val="30"/>
        </w:rPr>
        <w:t>网络安全工作责任，筑牢网络安全</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防护墙</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。组织开展关键信息基础设施网络安全专项检查，提高网络安全风险技防能力。开展</w:t>
      </w:r>
      <w:r>
        <w:rPr>
          <w:rFonts w:ascii="Times New Roman" w:hAnsi="Times New Roman" w:eastAsia="仿宋_GB2312" w:cs="Times New Roman"/>
          <w:sz w:val="30"/>
          <w:szCs w:val="30"/>
        </w:rPr>
        <w:t>2020</w:t>
      </w:r>
      <w:r>
        <w:rPr>
          <w:rFonts w:hint="eastAsia" w:ascii="Times New Roman" w:hAnsi="Times New Roman" w:eastAsia="仿宋_GB2312" w:cs="仿宋_GB2312"/>
          <w:sz w:val="30"/>
          <w:szCs w:val="30"/>
        </w:rPr>
        <w:t>年国家网络安全宣传周系列活动，策划</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网信知识我知道</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冲关答题、新媒体助力网络安全等系列活动，动员全员共筑网络安全防线。</w:t>
      </w:r>
    </w:p>
    <w:p>
      <w:pPr>
        <w:spacing w:line="560" w:lineRule="exact"/>
        <w:ind w:firstLine="643" w:firstLineChars="200"/>
        <w:jc w:val="both"/>
        <w:rPr>
          <w:rFonts w:hint="default" w:ascii="仿宋_GB2312" w:hAnsi="仿宋_GB2312" w:eastAsia="楷体_GB2312" w:cs="宋体"/>
          <w:b/>
          <w:sz w:val="32"/>
          <w:szCs w:val="32"/>
          <w:lang w:val="en-US" w:eastAsia="zh-CN"/>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（4）加强网信干部队伍建设。</w:t>
      </w:r>
      <w:r>
        <w:rPr>
          <w:rFonts w:hint="eastAsia" w:ascii="Times New Roman" w:hAnsi="Times New Roman" w:eastAsia="仿宋_GB2312" w:cs="仿宋_GB2312"/>
          <w:sz w:val="30"/>
          <w:szCs w:val="30"/>
        </w:rPr>
        <w:t>开展网信系统业务知识学习培训</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切实提高网信干部队伍业务素养和能力水平，打造</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讲政治、懂网络、敢担当、善创新</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的网信铁军。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楷体_GB2312" w:cs="宋体"/>
          <w:b/>
          <w:sz w:val="32"/>
          <w:szCs w:val="32"/>
          <w:lang w:val="en-US" w:eastAsia="zh-CN"/>
        </w:rPr>
      </w:pPr>
      <w:r>
        <w:rPr>
          <w:rFonts w:hint="eastAsia" w:ascii="仿宋_GB2312" w:hAnsi="仿宋_GB2312" w:eastAsia="楷体_GB2312" w:cs="宋体"/>
          <w:b/>
          <w:sz w:val="32"/>
          <w:szCs w:val="32"/>
          <w:lang w:val="en-US" w:eastAsia="zh-CN"/>
        </w:rPr>
        <w:t>4.部门整体支出规模、使用方向和主要内容、涉及范围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2020年我办本年收入为258.46万元，其中财政拨款收入258.46万元，占总收入的100％，其他收入0万元，占总收入的0％；本年支出258.46万元，按项目功能分类，一般公共服务支出250.9万元，占总支出的97.07％，社会保障和就业支出3.35万元，占总支出的1.3％，卫生健康支出1.95万元，占总支出的0.75％，住房保障支出2.26万元，占总支出的0.88％。按支出性质区分，基本支出72.23万元，占全年总支出27.95%；项目支出186.23万元，占全年总支出72.05%。</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420" w:leftChars="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部门整体支出资金管理及使用情况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2020年部门整体支出258.46万元，其中：基本支出72.23万元；项目支出186.23万元。具体安排情况如下：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楷体_GB2312" w:cs="宋体"/>
          <w:b/>
          <w:kern w:val="2"/>
          <w:sz w:val="32"/>
          <w:szCs w:val="32"/>
          <w:lang w:val="en-US" w:eastAsia="zh-CN" w:bidi="ar-SA"/>
        </w:rPr>
      </w:pPr>
      <w:r>
        <w:rPr>
          <w:rFonts w:hint="eastAsia" w:ascii="仿宋_GB2312" w:hAnsi="仿宋_GB2312" w:eastAsia="楷体_GB2312" w:cs="宋体"/>
          <w:b/>
          <w:kern w:val="2"/>
          <w:sz w:val="32"/>
          <w:szCs w:val="32"/>
          <w:lang w:val="en-US" w:eastAsia="zh-CN" w:bidi="ar-SA"/>
        </w:rPr>
        <w:t>（一）基本支出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2020年度基本支出72.23万元，其中人员经费67.87万元，日常公用经费4.36万元，是指为保障单位机构正常运转、完成日常工作任务而发生的各项支出，包括用于基本工资、津贴补贴等人员经费以及办公费、印刷费、水电费、办公设备购置等日常公用经费。通过自查，基本支出符合国家财经法规和财务管理制度规定以及有关项目资金管理办法的规定，资金使用规范，资金拨付有完整的审批程序和手续，资金管理和预算执行情况较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楷体_GB2312" w:cs="宋体"/>
          <w:b/>
          <w:kern w:val="2"/>
          <w:sz w:val="32"/>
          <w:szCs w:val="32"/>
          <w:lang w:val="en-US" w:eastAsia="zh-CN" w:bidi="ar-SA"/>
        </w:rPr>
      </w:pPr>
      <w:r>
        <w:rPr>
          <w:rFonts w:hint="eastAsia" w:ascii="仿宋_GB2312" w:hAnsi="仿宋_GB2312" w:eastAsia="楷体_GB2312" w:cs="宋体"/>
          <w:b/>
          <w:kern w:val="2"/>
          <w:sz w:val="32"/>
          <w:szCs w:val="32"/>
          <w:lang w:val="en-US" w:eastAsia="zh-CN" w:bidi="ar-SA"/>
        </w:rPr>
        <w:t>（二）“三公” 经费总支出情况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b w:val="0"/>
          <w:bCs/>
          <w:i w:val="0"/>
          <w:caps w:val="0"/>
          <w:color w:val="000000"/>
          <w:spacing w:val="0"/>
          <w:kern w:val="44"/>
          <w:sz w:val="32"/>
          <w:szCs w:val="32"/>
          <w:vertAlign w:val="baseline"/>
          <w:lang w:val="en-US" w:eastAsia="zh-CN" w:bidi="ar-SA"/>
        </w:rPr>
      </w:pPr>
      <w:r>
        <w:rPr>
          <w:rFonts w:hint="eastAsia" w:ascii="仿宋_GB2312" w:hAnsi="仿宋_GB2312" w:eastAsia="仿宋_GB2312" w:cs="仿宋_GB2312"/>
          <w:b w:val="0"/>
          <w:bCs/>
          <w:i w:val="0"/>
          <w:caps w:val="0"/>
          <w:color w:val="000000"/>
          <w:spacing w:val="0"/>
          <w:kern w:val="44"/>
          <w:sz w:val="32"/>
          <w:szCs w:val="32"/>
          <w:vertAlign w:val="baseline"/>
          <w:lang w:val="en-US" w:eastAsia="zh-CN" w:bidi="ar-SA"/>
        </w:rPr>
        <w:t>2020年“三公”经费决算数为1024元，其中，公务接待费1024元，公务用车购置及运行费0万元（其中，公务用车购置费0万元，公务用车运行费0元），因公出国（境）费0万元。我办严格按程序和规定标准控制公务接待支出，厉行节约，不存在公款大吃大喝现象及参与高消费娱乐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楷体_GB2312" w:cs="宋体"/>
          <w:b/>
          <w:kern w:val="2"/>
          <w:sz w:val="32"/>
          <w:szCs w:val="32"/>
          <w:lang w:val="en-US" w:eastAsia="zh-CN" w:bidi="ar-SA"/>
        </w:rPr>
      </w:pPr>
      <w:r>
        <w:rPr>
          <w:rFonts w:hint="eastAsia" w:ascii="仿宋_GB2312" w:hAnsi="仿宋_GB2312" w:eastAsia="楷体_GB2312" w:cs="宋体"/>
          <w:b/>
          <w:kern w:val="2"/>
          <w:sz w:val="32"/>
          <w:szCs w:val="32"/>
          <w:lang w:val="en-US" w:eastAsia="zh-CN" w:bidi="ar-SA"/>
        </w:rPr>
        <w:t>（三）项目支出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rPr>
          <w:rFonts w:hint="eastAsia" w:ascii="仿宋_GB2312" w:hAnsi="仿宋_GB2312" w:eastAsia="仿宋_GB2312" w:cs="仿宋_GB2312"/>
          <w:b w:val="0"/>
          <w:bCs/>
          <w:i w:val="0"/>
          <w:caps w:val="0"/>
          <w:color w:val="000000"/>
          <w:spacing w:val="0"/>
          <w:kern w:val="44"/>
          <w:sz w:val="32"/>
          <w:szCs w:val="32"/>
          <w:vertAlign w:val="baseline"/>
          <w:lang w:val="en-US" w:eastAsia="zh-CN" w:bidi="ar-SA"/>
        </w:rPr>
      </w:pPr>
      <w:r>
        <w:rPr>
          <w:rFonts w:hint="eastAsia" w:ascii="仿宋_GB2312" w:hAnsi="仿宋_GB2312" w:eastAsia="仿宋_GB2312" w:cs="仿宋_GB2312"/>
          <w:b w:val="0"/>
          <w:bCs/>
          <w:i w:val="0"/>
          <w:caps w:val="0"/>
          <w:color w:val="000000"/>
          <w:spacing w:val="0"/>
          <w:kern w:val="44"/>
          <w:sz w:val="32"/>
          <w:szCs w:val="32"/>
          <w:vertAlign w:val="baseline"/>
          <w:lang w:val="en-US" w:eastAsia="zh-CN" w:bidi="ar-SA"/>
        </w:rPr>
        <w:t>2</w:t>
      </w: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020年度本单位项目支出总资金决算数为186.23</w:t>
      </w:r>
      <w:bookmarkStart w:id="0" w:name="_GoBack"/>
      <w:bookmarkEnd w:id="0"/>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1.项目资金（包括财政资金、自筹资金等）安排落实、总投入等情况分析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2020年项目支出决算数为186.23万元，是指单位为完成特定行政工作任务或事业发展目标而发生的支出，包括有关事业发展专项、专项业务费、基本建设支出等。其中：一般公共服务支出186.23万元，占总支出的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2.项目资金实际使用情况分析</w:t>
      </w:r>
    </w:p>
    <w:p>
      <w:pPr>
        <w:keepNext w:val="0"/>
        <w:keepLines w:val="0"/>
        <w:pageBreakBefore w:val="0"/>
        <w:widowControl w:val="0"/>
        <w:kinsoku/>
        <w:wordWrap/>
        <w:overflowPunct/>
        <w:topLinePunct w:val="0"/>
        <w:autoSpaceDE/>
        <w:autoSpaceDN/>
        <w:bidi w:val="0"/>
        <w:adjustRightInd w:val="0"/>
        <w:snapToGrid w:val="0"/>
        <w:spacing w:after="0" w:line="540" w:lineRule="exact"/>
        <w:ind w:firstLine="600" w:firstLineChars="200"/>
        <w:jc w:val="both"/>
        <w:textAlignment w:val="auto"/>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本年度项目资金186.23万元主要用于：</w:t>
      </w:r>
      <w:r>
        <w:rPr>
          <w:rFonts w:hint="eastAsia" w:ascii="Times New Roman" w:hAnsi="Times New Roman" w:eastAsia="仿宋_GB2312"/>
          <w:sz w:val="30"/>
          <w:szCs w:val="30"/>
        </w:rPr>
        <w:t>围绕市委市政府中心工作策划网宣活动</w:t>
      </w:r>
      <w:r>
        <w:rPr>
          <w:rFonts w:hint="eastAsia" w:ascii="Times New Roman" w:hAnsi="Times New Roman" w:eastAsia="仿宋_GB2312"/>
          <w:sz w:val="30"/>
          <w:szCs w:val="30"/>
          <w:lang w:eastAsia="zh-CN"/>
        </w:rPr>
        <w:t>；做大做强“这里是宁乡”官方抖音号；</w:t>
      </w:r>
      <w:r>
        <w:rPr>
          <w:rFonts w:hint="eastAsia" w:ascii="Times New Roman" w:hAnsi="Times New Roman" w:eastAsia="仿宋_GB2312"/>
          <w:sz w:val="30"/>
          <w:szCs w:val="30"/>
        </w:rPr>
        <w:t>推出“追梦全国文明城市”网上有奖答题活动</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制作出品的《网络安全在日常》动漫短视频</w:t>
      </w:r>
      <w:r>
        <w:rPr>
          <w:rFonts w:hint="eastAsia" w:ascii="Times New Roman" w:hAnsi="Times New Roman" w:eastAsia="仿宋_GB2312"/>
          <w:sz w:val="30"/>
          <w:szCs w:val="30"/>
          <w:lang w:eastAsia="zh-CN"/>
        </w:rPr>
        <w:t>，制作并</w:t>
      </w:r>
      <w:r>
        <w:rPr>
          <w:rFonts w:hint="eastAsia" w:ascii="仿宋_GB2312" w:hAnsi="仿宋_GB2312" w:eastAsia="仿宋_GB2312" w:cs="仿宋_GB2312"/>
          <w:sz w:val="30"/>
          <w:szCs w:val="30"/>
          <w:lang w:val="en-US" w:eastAsia="zh-CN"/>
        </w:rPr>
        <w:t>报送短视频《</w:t>
      </w:r>
      <w:r>
        <w:rPr>
          <w:rFonts w:hint="eastAsia" w:ascii="仿宋_GB2312" w:hAnsi="仿宋_GB2312" w:eastAsia="仿宋_GB2312" w:cs="仿宋_GB2312"/>
          <w:sz w:val="30"/>
          <w:szCs w:val="30"/>
        </w:rPr>
        <w:t>人民记忆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百年百城之宁乡奔小康</w:t>
      </w:r>
      <w:r>
        <w:rPr>
          <w:rFonts w:hint="eastAsia" w:ascii="仿宋_GB2312" w:hAnsi="仿宋_GB2312" w:eastAsia="仿宋_GB2312" w:cs="仿宋_GB2312"/>
          <w:sz w:val="30"/>
          <w:szCs w:val="30"/>
          <w:lang w:val="en-US" w:eastAsia="zh-CN"/>
        </w:rPr>
        <w:t>》参加中央网信办组织的庆祝建党100周年网评活动</w:t>
      </w:r>
      <w:r>
        <w:rPr>
          <w:rFonts w:hint="eastAsia" w:ascii="Times New Roman" w:hAnsi="Times New Roman" w:eastAsia="仿宋_GB2312"/>
          <w:sz w:val="30"/>
          <w:szCs w:val="30"/>
          <w:lang w:eastAsia="zh-CN"/>
        </w:rPr>
        <w:t>；</w:t>
      </w:r>
      <w:r>
        <w:rPr>
          <w:rFonts w:hint="eastAsia" w:ascii="仿宋_GB2312" w:eastAsia="仿宋_GB2312" w:cs="Times New Roman"/>
          <w:sz w:val="30"/>
          <w:szCs w:val="30"/>
        </w:rPr>
        <w:t>开展全市网络安全线上直播培训</w:t>
      </w:r>
      <w:r>
        <w:rPr>
          <w:rFonts w:hint="eastAsia" w:ascii="仿宋_GB2312" w:eastAsia="仿宋_GB2312" w:cs="Times New Roman"/>
          <w:sz w:val="30"/>
          <w:szCs w:val="30"/>
          <w:lang w:eastAsia="zh-CN"/>
        </w:rPr>
        <w:t>；积极</w:t>
      </w:r>
      <w:r>
        <w:rPr>
          <w:rFonts w:ascii="Times New Roman" w:hAnsi="Times New Roman" w:eastAsia="仿宋_GB2312"/>
          <w:sz w:val="30"/>
          <w:szCs w:val="30"/>
        </w:rPr>
        <w:t>引导</w:t>
      </w:r>
      <w:r>
        <w:rPr>
          <w:rFonts w:hint="eastAsia" w:ascii="Times New Roman" w:hAnsi="Times New Roman" w:eastAsia="仿宋_GB2312"/>
          <w:sz w:val="30"/>
          <w:szCs w:val="30"/>
          <w:lang w:eastAsia="zh-CN"/>
        </w:rPr>
        <w:t>宁乡新媒体协会传播宁乡声音、讲好宁乡故事；</w:t>
      </w:r>
      <w:r>
        <w:rPr>
          <w:rFonts w:hint="eastAsia" w:ascii="仿宋_GB2312" w:eastAsia="仿宋_GB2312" w:cs="Times New Roman"/>
          <w:sz w:val="30"/>
          <w:szCs w:val="30"/>
        </w:rPr>
        <w:t>举办全市网信干部能力提升培训班。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pPr>
      <w:r>
        <w:rPr>
          <w:rFonts w:hint="eastAsia" w:ascii="仿宋_GB2312" w:hAnsi="仿宋_GB2312" w:eastAsia="仿宋_GB2312" w:cs="仿宋_GB2312"/>
          <w:b/>
          <w:bCs w:val="0"/>
          <w:i w:val="0"/>
          <w:caps w:val="0"/>
          <w:color w:val="000000"/>
          <w:spacing w:val="0"/>
          <w:kern w:val="44"/>
          <w:sz w:val="32"/>
          <w:szCs w:val="32"/>
          <w:vertAlign w:val="baseline"/>
          <w:lang w:val="en-US" w:eastAsia="zh-CN" w:bidi="ar-SA"/>
        </w:rPr>
        <w:t> 3.项目资金管理情况分析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我办针对项目资金管理制定了《机关管理制度》，包含资金、资产、财务等方面具体的细节要求，结合相关政策、规定予以落实，总体执行情况良好。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三、部门项目组织实施情况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楷体_GB2312" w:cs="宋体"/>
          <w:b/>
          <w:kern w:val="2"/>
          <w:sz w:val="32"/>
          <w:szCs w:val="32"/>
          <w:lang w:val="en-US" w:eastAsia="zh-CN" w:bidi="ar-SA"/>
        </w:rPr>
      </w:pPr>
      <w:r>
        <w:rPr>
          <w:rFonts w:hint="eastAsia" w:ascii="仿宋_GB2312" w:hAnsi="仿宋_GB2312" w:eastAsia="楷体_GB2312" w:cs="宋体"/>
          <w:b/>
          <w:kern w:val="2"/>
          <w:sz w:val="32"/>
          <w:szCs w:val="32"/>
          <w:lang w:val="en-US" w:eastAsia="zh-CN" w:bidi="ar-SA"/>
        </w:rPr>
        <w:t>（一）项目组织情况分析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我办财务管理制度健全，2020年各项目组织过程合法合规，重大项目支出，由单位领导集体研究决定，采购过程严格按照《中华人民共和国政府采购法》、《中华人民共和国政府采购法实施条例》、《政府采购非招标采购方式管理办法》（财政部令第74号）、《政府采购货物和服务招标投标管理办法》（财政部令第87号）、《湖南省政府采购非公开招标采购方式审批管理办法》等有关规定进行招投标采购，经费使用严格按照项目的实施进度进行支付，项目管理都有完整的审批程序和手续，无截留、挤占、挪用、虚列支出资金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仿宋_GB2312" w:hAnsi="仿宋_GB2312" w:eastAsia="楷体_GB2312" w:cs="宋体"/>
          <w:b/>
          <w:kern w:val="2"/>
          <w:sz w:val="32"/>
          <w:szCs w:val="32"/>
          <w:lang w:val="en-US" w:eastAsia="zh-CN" w:bidi="ar-SA"/>
        </w:rPr>
      </w:pPr>
      <w:r>
        <w:rPr>
          <w:rFonts w:hint="eastAsia" w:ascii="仿宋_GB2312" w:hAnsi="仿宋_GB2312" w:eastAsia="楷体_GB2312" w:cs="宋体"/>
          <w:b/>
          <w:kern w:val="2"/>
          <w:sz w:val="32"/>
          <w:szCs w:val="32"/>
          <w:lang w:val="en-US" w:eastAsia="zh-CN" w:bidi="ar-SA"/>
        </w:rPr>
        <w:t>（二）项目管理情况分析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严格执行财经纪律，严格执行中央八项规定，反对四风、厉行节约，确保财政资金的安全有效支出。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四、资产管理情况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88" w:firstLineChars="196"/>
        <w:jc w:val="both"/>
        <w:rPr>
          <w:rFonts w:hint="eastAsia" w:ascii="仿宋" w:hAnsi="仿宋" w:eastAsia="仿宋" w:cs="仿宋"/>
          <w:color w:val="auto"/>
          <w:sz w:val="30"/>
          <w:szCs w:val="30"/>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本单位年初固定资产原值14.32万元，累计折旧0.2万元，年初固定资产净值14.12万元，年末固定资产原值16.52万元，累计折旧2.51万元，截至到2020年12月31日固定资产净值14.01万元。本单位资产保存完整、使用合规、配置合理、处置规范，资产管理情况较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五、部门整体支出绩效情况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pPr>
      <w:r>
        <w:rPr>
          <w:rFonts w:hint="eastAsia" w:ascii="仿宋_GB2312" w:hAnsi="仿宋_GB2312" w:eastAsia="仿宋_GB2312" w:cs="仿宋_GB2312"/>
          <w:b w:val="0"/>
          <w:bCs/>
          <w:i w:val="0"/>
          <w:caps w:val="0"/>
          <w:color w:val="000000"/>
          <w:spacing w:val="0"/>
          <w:kern w:val="44"/>
          <w:sz w:val="30"/>
          <w:szCs w:val="30"/>
          <w:vertAlign w:val="baseline"/>
          <w:lang w:val="en-US" w:eastAsia="zh-CN" w:bidi="ar-SA"/>
        </w:rPr>
        <w:t>整体来看，我办2020年项目预算控制较好，特别是一般性支出节约程度较高，“三公经费”支出明显降低，进一步做到厉行节约，发挥了财政资金的最大经济效益，项目资金收入186.23万元，支出186.23万元，全部为财政资金，资金到位率100%，实际使用率100%，2020年资金使用的效率性较高，下阶段我办将进一步完善单位各项制度，继续做好财政预决算、项目铺排、项目资金使用安排、项目成效跟踪等与绩效挂钩的各项流程，充分酝酿、严格把关，保障项目可持续发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30" w:firstLineChars="196"/>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六、存在的主要问题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rPr>
          <w:rFonts w:hint="eastAsia" w:ascii="Times New Roman" w:hAnsi="Times New Roman" w:eastAsia="仿宋_GB2312"/>
          <w:sz w:val="30"/>
          <w:szCs w:val="30"/>
        </w:rPr>
      </w:pPr>
      <w:r>
        <w:rPr>
          <w:rFonts w:hint="eastAsia" w:ascii="仿宋" w:hAnsi="仿宋" w:eastAsia="仿宋" w:cs="仿宋"/>
          <w:sz w:val="30"/>
          <w:szCs w:val="30"/>
        </w:rPr>
        <w:t>无。</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30" w:firstLineChars="196"/>
        <w:jc w:val="both"/>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七、改进措施和有关建议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rPr>
          <w:rFonts w:ascii="Times New Roman" w:hAnsi="Times New Roman" w:eastAsia="仿宋_GB2312"/>
          <w:sz w:val="30"/>
          <w:szCs w:val="30"/>
        </w:rPr>
      </w:pPr>
      <w:r>
        <w:rPr>
          <w:rFonts w:hint="eastAsia" w:ascii="仿宋" w:hAnsi="仿宋" w:eastAsia="仿宋" w:cs="仿宋"/>
          <w:sz w:val="30"/>
          <w:szCs w:val="30"/>
        </w:rPr>
        <w:t>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rPr>
          <w:rFonts w:hint="eastAsia" w:ascii="宋体" w:hAnsi="宋体" w:eastAsia="宋体" w:cs="宋体"/>
          <w:sz w:val="24"/>
          <w:szCs w:val="2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jc w:val="both"/>
        <w:rPr>
          <w:rFonts w:hint="eastAsia" w:ascii="仿宋" w:hAnsi="仿宋" w:eastAsia="仿宋" w:cs="仿宋"/>
          <w:b w:val="0"/>
          <w:bCs w:val="0"/>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AE02C"/>
    <w:multiLevelType w:val="singleLevel"/>
    <w:tmpl w:val="961AE0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YzAxYzQyYTA0MGFiYTZiNDgxMGNhOTY1MjFkZjUifQ=="/>
  </w:docVars>
  <w:rsids>
    <w:rsidRoot w:val="00000000"/>
    <w:rsid w:val="309A4F3A"/>
    <w:rsid w:val="3AC8148F"/>
    <w:rsid w:val="6072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2818</Words>
  <Characters>3026</Characters>
  <Lines>0</Lines>
  <Paragraphs>0</Paragraphs>
  <TotalTime>1</TotalTime>
  <ScaleCrop>false</ScaleCrop>
  <LinksUpToDate>false</LinksUpToDate>
  <CharactersWithSpaces>3028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2021-07-21T01:57:00Z</dcterms:created>
  <dc:creator>Administrator</dc:creator>
  <cp:lastModifiedBy>阿尔卑斯1393312890</cp:lastModifiedBy>
  <dcterms:modified xsi:type="dcterms:W3CDTF">2022-06-10T06:58:46Z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2E0165FC069B4C709FF1DFB276229390</vt:lpwstr>
  </property>
</Properties>
</file>