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ascii="Times New Roman" w:hAnsi="Times New Roman" w:cs="Times New Roman"/>
          <w:lang w:val="en-US" w:eastAsia="zh-CN"/>
        </w:rPr>
      </w:pPr>
      <w:r>
        <w:rPr>
          <w:rFonts w:hint="default" w:ascii="Times New Roman" w:hAnsi="Times New Roman" w:cs="Times New Roman"/>
          <w:lang w:val="en-US" w:eastAsia="zh-CN"/>
        </w:rPr>
        <w:t>部门整体支出绩效自评基础数据表</w:t>
      </w:r>
    </w:p>
    <w:p>
      <w:pPr>
        <w:rPr>
          <w:rFonts w:hint="default" w:ascii="Times New Roman" w:hAnsi="Times New Roman" w:eastAsia="楷体_GB2312" w:cs="Times New Roman"/>
          <w:i w:val="0"/>
          <w:iCs w:val="0"/>
          <w:color w:val="000000"/>
          <w:kern w:val="0"/>
          <w:sz w:val="28"/>
          <w:szCs w:val="28"/>
          <w:u w:val="none"/>
          <w:lang w:val="en-US" w:eastAsia="zh-CN" w:bidi="ar"/>
        </w:rPr>
      </w:pPr>
    </w:p>
    <w:p>
      <w:pPr>
        <w:rPr>
          <w:rFonts w:hint="default" w:ascii="Times New Roman" w:hAnsi="Times New Roman" w:eastAsia="方正小标宋简体" w:cs="Times New Roman"/>
          <w:i w:val="0"/>
          <w:iCs w:val="0"/>
          <w:color w:val="000000"/>
          <w:kern w:val="0"/>
          <w:sz w:val="40"/>
          <w:szCs w:val="40"/>
          <w:u w:val="none"/>
          <w:lang w:val="en-US" w:eastAsia="zh-CN" w:bidi="ar"/>
        </w:rPr>
      </w:pPr>
      <w:r>
        <w:rPr>
          <w:rFonts w:hint="default" w:ascii="Times New Roman" w:hAnsi="Times New Roman" w:eastAsia="楷体_GB2312" w:cs="Times New Roman"/>
          <w:i w:val="0"/>
          <w:iCs w:val="0"/>
          <w:color w:val="000000"/>
          <w:kern w:val="0"/>
          <w:sz w:val="28"/>
          <w:szCs w:val="28"/>
          <w:u w:val="none"/>
          <w:lang w:val="en-US" w:eastAsia="zh-CN" w:bidi="ar"/>
        </w:rPr>
        <w:t>填报单位：宁乡市委办</w:t>
      </w:r>
    </w:p>
    <w:tbl>
      <w:tblPr>
        <w:tblStyle w:val="8"/>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38"/>
        <w:gridCol w:w="1065"/>
        <w:gridCol w:w="857"/>
        <w:gridCol w:w="1040"/>
        <w:gridCol w:w="1098"/>
        <w:gridCol w:w="1136"/>
        <w:gridCol w:w="1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财政供养人员情况</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编制数人</w:t>
            </w:r>
            <w:r>
              <w:rPr>
                <w:rFonts w:hint="eastAsia" w:ascii="Times New Roman" w:hAnsi="Times New Roman" w:cs="Times New Roman"/>
                <w:i w:val="0"/>
                <w:iCs w:val="0"/>
                <w:color w:val="auto"/>
                <w:kern w:val="0"/>
                <w:sz w:val="21"/>
                <w:szCs w:val="21"/>
                <w:u w:val="none"/>
                <w:lang w:val="en-US" w:eastAsia="zh-CN" w:bidi="ar"/>
              </w:rPr>
              <w:t>85</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20</w:t>
            </w:r>
            <w:r>
              <w:rPr>
                <w:rStyle w:val="19"/>
                <w:rFonts w:hint="default" w:ascii="Times New Roman" w:hAnsi="Times New Roman" w:eastAsia="宋体" w:cs="Times New Roman"/>
                <w:color w:val="auto"/>
                <w:sz w:val="21"/>
                <w:szCs w:val="21"/>
                <w:lang w:val="en-US" w:eastAsia="zh-CN" w:bidi="ar"/>
              </w:rPr>
              <w:t>21</w:t>
            </w:r>
            <w:r>
              <w:rPr>
                <w:rFonts w:hint="default" w:ascii="Times New Roman" w:hAnsi="Times New Roman" w:eastAsia="宋体" w:cs="Times New Roman"/>
                <w:i w:val="0"/>
                <w:iCs w:val="0"/>
                <w:color w:val="auto"/>
                <w:kern w:val="0"/>
                <w:sz w:val="21"/>
                <w:szCs w:val="21"/>
                <w:u w:val="none"/>
                <w:lang w:val="en-US" w:eastAsia="zh-CN" w:bidi="ar"/>
              </w:rPr>
              <w:t>年实际在职人数</w:t>
            </w:r>
            <w:r>
              <w:rPr>
                <w:rFonts w:hint="eastAsia" w:ascii="Times New Roman" w:hAnsi="Times New Roman" w:cs="Times New Roman"/>
                <w:i w:val="0"/>
                <w:iCs w:val="0"/>
                <w:color w:val="auto"/>
                <w:kern w:val="0"/>
                <w:sz w:val="21"/>
                <w:szCs w:val="21"/>
                <w:u w:val="none"/>
                <w:lang w:val="en-US" w:eastAsia="zh-CN" w:bidi="ar"/>
              </w:rPr>
              <w:t>76</w:t>
            </w:r>
            <w:r>
              <w:rPr>
                <w:rFonts w:hint="default" w:ascii="Times New Roman" w:hAnsi="Times New Roman" w:eastAsia="宋体" w:cs="Times New Roman"/>
                <w:i w:val="0"/>
                <w:iCs w:val="0"/>
                <w:color w:val="auto"/>
                <w:kern w:val="0"/>
                <w:sz w:val="21"/>
                <w:szCs w:val="21"/>
                <w:u w:val="none"/>
                <w:lang w:val="en-US" w:eastAsia="zh-CN" w:bidi="ar"/>
              </w:rPr>
              <w:t>人</w:t>
            </w:r>
          </w:p>
        </w:tc>
        <w:tc>
          <w:tcPr>
            <w:tcW w:w="12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控制率</w:t>
            </w:r>
            <w:r>
              <w:rPr>
                <w:rFonts w:hint="eastAsia" w:ascii="Times New Roman" w:hAnsi="Times New Roman" w:cs="Times New Roman"/>
                <w:i w:val="0"/>
                <w:iCs w:val="0"/>
                <w:color w:val="auto"/>
                <w:kern w:val="0"/>
                <w:sz w:val="21"/>
                <w:szCs w:val="21"/>
                <w:u w:val="none"/>
                <w:lang w:val="en-US" w:eastAsia="zh-CN" w:bidi="ar"/>
              </w:rPr>
              <w:t>89.4</w:t>
            </w:r>
            <w:r>
              <w:rPr>
                <w:rFonts w:hint="default" w:ascii="Times New Roman" w:hAnsi="Times New Roman" w:eastAsia="宋体" w:cs="Times New Roman"/>
                <w:i w:val="0"/>
                <w:iCs w:val="0"/>
                <w:color w:val="auto"/>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经费控制情况</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2020</w:t>
            </w:r>
            <w:r>
              <w:rPr>
                <w:rStyle w:val="20"/>
                <w:rFonts w:hint="default" w:ascii="Times New Roman" w:hAnsi="Times New Roman" w:eastAsia="宋体" w:cs="Times New Roman"/>
                <w:color w:val="auto"/>
                <w:sz w:val="21"/>
                <w:szCs w:val="21"/>
                <w:lang w:val="en-US" w:eastAsia="zh-CN" w:bidi="ar"/>
              </w:rPr>
              <w:t>年决算数</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202</w:t>
            </w:r>
            <w:r>
              <w:rPr>
                <w:rStyle w:val="20"/>
                <w:rFonts w:hint="default" w:ascii="Times New Roman" w:hAnsi="Times New Roman" w:eastAsia="宋体" w:cs="Times New Roman"/>
                <w:color w:val="auto"/>
                <w:sz w:val="21"/>
                <w:szCs w:val="21"/>
                <w:lang w:val="en-US" w:eastAsia="zh-CN" w:bidi="ar"/>
              </w:rPr>
              <w:t>1年预算数</w:t>
            </w:r>
          </w:p>
        </w:tc>
        <w:tc>
          <w:tcPr>
            <w:tcW w:w="12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20</w:t>
            </w:r>
            <w:r>
              <w:rPr>
                <w:rStyle w:val="20"/>
                <w:rFonts w:hint="default" w:ascii="Times New Roman" w:hAnsi="Times New Roman" w:eastAsia="宋体" w:cs="Times New Roman"/>
                <w:color w:val="auto"/>
                <w:sz w:val="21"/>
                <w:szCs w:val="21"/>
                <w:lang w:val="en-US" w:eastAsia="zh-CN" w:bidi="ar"/>
              </w:rPr>
              <w:t>21年决算数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三公经费</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18.53</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56.5</w:t>
            </w:r>
          </w:p>
        </w:tc>
        <w:tc>
          <w:tcPr>
            <w:tcW w:w="12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r>
              <w:rPr>
                <w:rStyle w:val="21"/>
                <w:rFonts w:hint="default" w:ascii="Times New Roman" w:hAnsi="Times New Roman" w:eastAsia="宋体" w:cs="Times New Roman"/>
                <w:color w:val="auto"/>
                <w:sz w:val="21"/>
                <w:szCs w:val="21"/>
                <w:lang w:val="en-US" w:eastAsia="zh-CN" w:bidi="ar"/>
              </w:rPr>
              <w:t>、公务用车购置和维护经费</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2.87</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12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其中：公车购置</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c>
          <w:tcPr>
            <w:tcW w:w="12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公车运行维护</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2.87</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12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r>
              <w:rPr>
                <w:rStyle w:val="21"/>
                <w:rFonts w:hint="default" w:ascii="Times New Roman" w:hAnsi="Times New Roman" w:eastAsia="宋体" w:cs="Times New Roman"/>
                <w:color w:val="auto"/>
                <w:sz w:val="21"/>
                <w:szCs w:val="21"/>
                <w:lang w:val="en-US" w:eastAsia="zh-CN" w:bidi="ar"/>
              </w:rPr>
              <w:t>、出国经费</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c>
          <w:tcPr>
            <w:tcW w:w="12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r>
              <w:rPr>
                <w:rStyle w:val="21"/>
                <w:rFonts w:hint="default" w:ascii="Times New Roman" w:hAnsi="Times New Roman" w:eastAsia="宋体" w:cs="Times New Roman"/>
                <w:color w:val="auto"/>
                <w:sz w:val="21"/>
                <w:szCs w:val="21"/>
                <w:lang w:val="en-US" w:eastAsia="zh-CN" w:bidi="ar"/>
              </w:rPr>
              <w:t>、公务接待</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15.66</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52.5</w:t>
            </w:r>
          </w:p>
        </w:tc>
        <w:tc>
          <w:tcPr>
            <w:tcW w:w="12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项目支出：</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622.97</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600</w:t>
            </w:r>
          </w:p>
        </w:tc>
        <w:tc>
          <w:tcPr>
            <w:tcW w:w="12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859.32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r>
              <w:rPr>
                <w:rStyle w:val="21"/>
                <w:rFonts w:hint="default" w:ascii="Times New Roman" w:hAnsi="Times New Roman" w:eastAsia="宋体" w:cs="Times New Roman"/>
                <w:color w:val="auto"/>
                <w:sz w:val="21"/>
                <w:szCs w:val="21"/>
                <w:lang w:val="en-US" w:eastAsia="zh-CN" w:bidi="ar"/>
              </w:rPr>
              <w:t>、业务工作项目</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622.97</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600</w:t>
            </w:r>
          </w:p>
        </w:tc>
        <w:tc>
          <w:tcPr>
            <w:tcW w:w="12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859.32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r>
              <w:rPr>
                <w:rStyle w:val="21"/>
                <w:rFonts w:hint="default" w:ascii="Times New Roman" w:hAnsi="Times New Roman" w:eastAsia="宋体" w:cs="Times New Roman"/>
                <w:color w:val="auto"/>
                <w:sz w:val="21"/>
                <w:szCs w:val="21"/>
                <w:lang w:val="en-US" w:eastAsia="zh-CN" w:bidi="ar"/>
              </w:rPr>
              <w:t>、运行维护项目</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c>
          <w:tcPr>
            <w:tcW w:w="12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c>
          <w:tcPr>
            <w:tcW w:w="12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公用经费</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148.06</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190.92</w:t>
            </w:r>
          </w:p>
        </w:tc>
        <w:tc>
          <w:tcPr>
            <w:tcW w:w="12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160.95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其中：办公经费</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12.12</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23.56</w:t>
            </w:r>
          </w:p>
        </w:tc>
        <w:tc>
          <w:tcPr>
            <w:tcW w:w="12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水费、电费、差旅费</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12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会议费、培训费</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5.574</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w:t>
            </w:r>
          </w:p>
        </w:tc>
        <w:tc>
          <w:tcPr>
            <w:tcW w:w="12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政府采购金额</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302.5</w:t>
            </w:r>
          </w:p>
        </w:tc>
        <w:tc>
          <w:tcPr>
            <w:tcW w:w="12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466.69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部门整体支出预算调整</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264.3</w:t>
            </w:r>
          </w:p>
        </w:tc>
        <w:tc>
          <w:tcPr>
            <w:tcW w:w="12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楼堂馆所控制情况</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批复规模</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实际</w:t>
            </w: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b/>
                <w:bCs/>
                <w:i w:val="0"/>
                <w:iCs w:val="0"/>
                <w:color w:val="auto"/>
                <w:kern w:val="0"/>
                <w:sz w:val="21"/>
                <w:szCs w:val="21"/>
                <w:u w:val="none"/>
                <w:lang w:val="en-US" w:eastAsia="zh-CN" w:bidi="ar"/>
              </w:rPr>
            </w:pPr>
            <w:r>
              <w:rPr>
                <w:rFonts w:hint="default" w:ascii="Times New Roman" w:hAnsi="Times New Roman" w:eastAsia="宋体" w:cs="Times New Roman"/>
                <w:b/>
                <w:bCs/>
                <w:i w:val="0"/>
                <w:iCs w:val="0"/>
                <w:color w:val="auto"/>
                <w:kern w:val="0"/>
                <w:sz w:val="21"/>
                <w:szCs w:val="21"/>
                <w:u w:val="none"/>
                <w:lang w:val="en-US" w:eastAsia="zh-CN" w:bidi="ar"/>
              </w:rPr>
              <w:t>规模控</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制率</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预算投资</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实际</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投资概算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（20</w:t>
            </w:r>
            <w:r>
              <w:rPr>
                <w:rStyle w:val="21"/>
                <w:rFonts w:hint="default" w:ascii="Times New Roman" w:hAnsi="Times New Roman" w:eastAsia="宋体" w:cs="Times New Roman"/>
                <w:color w:val="auto"/>
                <w:sz w:val="21"/>
                <w:szCs w:val="21"/>
                <w:lang w:val="en-US" w:eastAsia="zh-CN" w:bidi="ar"/>
              </w:rPr>
              <w:t>20</w:t>
            </w:r>
            <w:r>
              <w:rPr>
                <w:rFonts w:hint="default" w:ascii="Times New Roman" w:hAnsi="Times New Roman" w:eastAsia="宋体" w:cs="Times New Roman"/>
                <w:i w:val="0"/>
                <w:iCs w:val="0"/>
                <w:color w:val="auto"/>
                <w:kern w:val="0"/>
                <w:sz w:val="21"/>
                <w:szCs w:val="21"/>
                <w:u w:val="none"/>
                <w:lang w:val="en-US" w:eastAsia="zh-CN" w:bidi="ar"/>
              </w:rPr>
              <w:t>年完工项目）</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规模</w:t>
            </w: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b/>
                <w:bCs/>
                <w:i w:val="0"/>
                <w:iCs w:val="0"/>
                <w:color w:val="auto"/>
                <w:sz w:val="21"/>
                <w:szCs w:val="21"/>
                <w:u w:val="none"/>
              </w:rPr>
            </w:pP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（万元）</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投资</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rPr>
                <w:rFonts w:hint="default" w:ascii="Times New Roman" w:hAnsi="Times New Roman" w:eastAsia="宋体" w:cs="Times New Roman"/>
                <w:i w:val="0"/>
                <w:iCs w:val="0"/>
                <w:color w:val="auto"/>
                <w:sz w:val="21"/>
                <w:szCs w:val="21"/>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w:t>
            </w: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b/>
                <w:bCs/>
                <w:i w:val="0"/>
                <w:iCs w:val="0"/>
                <w:color w:val="auto"/>
                <w:sz w:val="21"/>
                <w:szCs w:val="21"/>
                <w:u w:val="none"/>
              </w:rPr>
            </w:pP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（万元）</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rPr>
                <w:rFonts w:hint="default" w:ascii="Times New Roman" w:hAnsi="Times New Roman" w:eastAsia="宋体" w:cs="Times New Roman"/>
                <w:i w:val="0"/>
                <w:iCs w:val="0"/>
                <w:color w:val="auto"/>
                <w:sz w:val="21"/>
                <w:szCs w:val="21"/>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厉行节约保障措施</w:t>
            </w:r>
          </w:p>
        </w:tc>
        <w:tc>
          <w:tcPr>
            <w:tcW w:w="348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rPr>
                <w:rFonts w:hint="default" w:ascii="Times New Roman" w:hAnsi="Times New Roman" w:eastAsia="宋体" w:cs="Times New Roman"/>
                <w:i w:val="0"/>
                <w:iCs w:val="0"/>
                <w:color w:val="auto"/>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黑体" w:cs="Times New Roman"/>
          <w:sz w:val="32"/>
          <w:szCs w:val="32"/>
          <w:u w:val="none"/>
        </w:rPr>
      </w:pPr>
      <w:r>
        <w:rPr>
          <w:rFonts w:hint="default" w:ascii="Times New Roman" w:hAnsi="Times New Roman" w:eastAsia="宋体" w:cs="Times New Roman"/>
          <w:i w:val="0"/>
          <w:iCs w:val="0"/>
          <w:color w:val="000000"/>
          <w:kern w:val="0"/>
          <w:sz w:val="21"/>
          <w:szCs w:val="21"/>
          <w:u w:val="none"/>
          <w:lang w:val="en-US" w:eastAsia="zh-CN" w:bidi="ar"/>
        </w:rPr>
        <w:t>说明：“项目支出”需要填报除公共项目资金和基本支出以外的所有项目情况，包括业务工作项目、运行维护项目等；“公用经费”填报基本支出中的一般商品和服务支出。</w:t>
      </w:r>
    </w:p>
    <w:p>
      <w:pPr>
        <w:rPr>
          <w:rFonts w:hint="default" w:ascii="Times New Roman" w:hAnsi="Times New Roman" w:eastAsia="方正小标宋_GBK" w:cs="Times New Roman"/>
          <w:b w:val="0"/>
          <w:bCs/>
          <w:kern w:val="0"/>
          <w:sz w:val="44"/>
          <w:szCs w:val="44"/>
          <w:lang w:val="en-US" w:eastAsia="zh-CN"/>
        </w:rPr>
      </w:pPr>
      <w:r>
        <w:rPr>
          <w:rFonts w:hint="default" w:ascii="Times New Roman" w:hAnsi="Times New Roman" w:eastAsia="方正小标宋_GBK" w:cs="Times New Roman"/>
          <w:b w:val="0"/>
          <w:bCs/>
          <w:kern w:val="0"/>
          <w:sz w:val="44"/>
          <w:szCs w:val="44"/>
          <w:lang w:val="en-US" w:eastAsia="zh-CN"/>
        </w:rPr>
        <w:br w:type="page"/>
      </w:r>
    </w:p>
    <w:p>
      <w:pPr>
        <w:keepNext w:val="0"/>
        <w:keepLines w:val="0"/>
        <w:pageBreakBefore w:val="0"/>
        <w:widowControl/>
        <w:kinsoku/>
        <w:wordWrap/>
        <w:overflowPunct/>
        <w:topLinePunct w:val="0"/>
        <w:autoSpaceDE/>
        <w:autoSpaceDN/>
        <w:bidi w:val="0"/>
        <w:adjustRightInd/>
        <w:snapToGrid/>
        <w:spacing w:line="560" w:lineRule="exact"/>
        <w:ind w:left="0" w:firstLine="0" w:firstLineChars="0"/>
        <w:jc w:val="center"/>
        <w:textAlignment w:val="auto"/>
        <w:rPr>
          <w:rFonts w:hint="default" w:ascii="Times New Roman" w:hAnsi="Times New Roman" w:eastAsia="方正小标宋_GBK" w:cs="Times New Roman"/>
          <w:b w:val="0"/>
          <w:bCs/>
          <w:kern w:val="0"/>
          <w:sz w:val="44"/>
          <w:szCs w:val="44"/>
        </w:rPr>
      </w:pPr>
      <w:r>
        <w:rPr>
          <w:rFonts w:hint="default" w:ascii="Times New Roman" w:hAnsi="Times New Roman" w:eastAsia="方正小标宋_GBK" w:cs="Times New Roman"/>
          <w:b w:val="0"/>
          <w:bCs/>
          <w:kern w:val="0"/>
          <w:sz w:val="44"/>
          <w:szCs w:val="44"/>
          <w:lang w:val="en-US" w:eastAsia="zh-CN"/>
        </w:rPr>
        <w:t>中共宁乡市委办</w:t>
      </w:r>
      <w:r>
        <w:rPr>
          <w:rFonts w:hint="default" w:ascii="Times New Roman" w:hAnsi="Times New Roman" w:eastAsia="方正小标宋_GBK" w:cs="Times New Roman"/>
          <w:b w:val="0"/>
          <w:bCs/>
          <w:kern w:val="0"/>
          <w:sz w:val="44"/>
          <w:szCs w:val="44"/>
        </w:rPr>
        <w:t>部门整体支出绩效自评报告</w:t>
      </w:r>
    </w:p>
    <w:p>
      <w:pPr>
        <w:keepNext w:val="0"/>
        <w:keepLines w:val="0"/>
        <w:pageBreakBefore w:val="0"/>
        <w:kinsoku/>
        <w:wordWrap/>
        <w:overflowPunct/>
        <w:topLinePunct w:val="0"/>
        <w:autoSpaceDE/>
        <w:autoSpaceDN/>
        <w:bidi w:val="0"/>
        <w:adjustRightInd/>
        <w:spacing w:line="560" w:lineRule="exact"/>
        <w:ind w:left="0" w:firstLine="624" w:firstLineChars="200"/>
        <w:jc w:val="center"/>
        <w:textAlignment w:val="auto"/>
        <w:rPr>
          <w:rFonts w:hint="default" w:ascii="Times New Roman" w:hAnsi="Times New Roman" w:eastAsia="仿宋_GB2312" w:cs="Times New Roman"/>
          <w:bCs/>
          <w:sz w:val="32"/>
          <w:szCs w:val="32"/>
        </w:rPr>
      </w:pPr>
    </w:p>
    <w:p>
      <w:pPr>
        <w:keepNext w:val="0"/>
        <w:keepLines w:val="0"/>
        <w:pageBreakBefore w:val="0"/>
        <w:numPr>
          <w:ilvl w:val="0"/>
          <w:numId w:val="1"/>
        </w:numPr>
        <w:kinsoku/>
        <w:wordWrap/>
        <w:overflowPunct/>
        <w:topLinePunct w:val="0"/>
        <w:autoSpaceDE/>
        <w:autoSpaceDN/>
        <w:bidi w:val="0"/>
        <w:adjustRightInd/>
        <w:spacing w:line="586" w:lineRule="exact"/>
        <w:ind w:left="0" w:leftChars="0" w:firstLine="624"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部门概况</w:t>
      </w:r>
    </w:p>
    <w:p>
      <w:pPr>
        <w:keepNext w:val="0"/>
        <w:keepLines w:val="0"/>
        <w:pageBreakBefore w:val="0"/>
        <w:numPr>
          <w:ilvl w:val="0"/>
          <w:numId w:val="0"/>
        </w:numPr>
        <w:kinsoku/>
        <w:wordWrap/>
        <w:overflowPunct/>
        <w:topLinePunct w:val="0"/>
        <w:autoSpaceDE/>
        <w:autoSpaceDN/>
        <w:bidi w:val="0"/>
        <w:adjustRightInd/>
        <w:spacing w:line="586" w:lineRule="exact"/>
        <w:ind w:leftChars="0" w:firstLine="624" w:firstLineChars="200"/>
        <w:jc w:val="both"/>
        <w:textAlignment w:val="auto"/>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val="en-US" w:eastAsia="zh-CN"/>
        </w:rPr>
        <w:t>市委办本级</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lang w:val="en-US" w:eastAsia="zh-CN"/>
        </w:rPr>
        <w:t>（一）</w:t>
      </w:r>
      <w:r>
        <w:rPr>
          <w:rFonts w:hint="default" w:ascii="Times New Roman" w:hAnsi="Times New Roman" w:eastAsia="楷体_GB2312" w:cs="Times New Roman"/>
          <w:b/>
          <w:bCs/>
          <w:color w:val="000000"/>
          <w:sz w:val="32"/>
          <w:szCs w:val="32"/>
        </w:rPr>
        <w:t>单位职能职责</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主要职责是围绕</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委中心、突出政务主题，狠抓优质服务，强化衔接协调，充分发挥协调参谋作用，为</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委正确指挥和决策提供有力保障。具体如下：</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负责办理</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委的日常工作事务，确保</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委工作正常运转。</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围绕中央、省市和</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委总体工作部署，搞好相关调查研究，为</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委决策提供服务。</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pacing w:val="-6"/>
          <w:sz w:val="32"/>
          <w:szCs w:val="32"/>
        </w:rPr>
        <w:t>负责上级和</w:t>
      </w:r>
      <w:r>
        <w:rPr>
          <w:rFonts w:hint="default" w:ascii="Times New Roman" w:hAnsi="Times New Roman" w:eastAsia="仿宋_GB2312" w:cs="Times New Roman"/>
          <w:color w:val="000000"/>
          <w:spacing w:val="-6"/>
          <w:sz w:val="32"/>
          <w:szCs w:val="32"/>
          <w:lang w:eastAsia="zh-CN"/>
        </w:rPr>
        <w:t>市</w:t>
      </w:r>
      <w:r>
        <w:rPr>
          <w:rFonts w:hint="default" w:ascii="Times New Roman" w:hAnsi="Times New Roman" w:eastAsia="仿宋_GB2312" w:cs="Times New Roman"/>
          <w:color w:val="000000"/>
          <w:spacing w:val="-6"/>
          <w:sz w:val="32"/>
          <w:szCs w:val="32"/>
        </w:rPr>
        <w:t>委重要工作部署、重大决策的贯彻落实及督查</w:t>
      </w:r>
      <w:r>
        <w:rPr>
          <w:rFonts w:hint="default" w:ascii="Times New Roman" w:hAnsi="Times New Roman" w:eastAsia="仿宋_GB2312" w:cs="Times New Roman"/>
          <w:color w:val="000000"/>
          <w:sz w:val="32"/>
          <w:szCs w:val="32"/>
          <w:lang w:val="en-US" w:eastAsia="zh-CN"/>
        </w:rPr>
        <w:t>和全市机要保密工作</w:t>
      </w:r>
      <w:r>
        <w:rPr>
          <w:rFonts w:hint="default" w:ascii="Times New Roman" w:hAnsi="Times New Roman" w:eastAsia="仿宋_GB2312" w:cs="Times New Roman"/>
          <w:color w:val="000000"/>
          <w:spacing w:val="-6"/>
          <w:sz w:val="32"/>
          <w:szCs w:val="32"/>
        </w:rPr>
        <w:t>。</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协助</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委领导做好协调工作，推动各部门在工作中互相配合互相支持，确保各项工作任务落实到位。</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协调、指导全</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党委系统办公室的各项业务工作。</w:t>
      </w:r>
    </w:p>
    <w:p>
      <w:pPr>
        <w:pStyle w:val="7"/>
        <w:keepNext w:val="0"/>
        <w:keepLines w:val="0"/>
        <w:pageBreakBefore w:val="0"/>
        <w:kinsoku/>
        <w:wordWrap/>
        <w:overflowPunct/>
        <w:topLinePunct w:val="0"/>
        <w:autoSpaceDE/>
        <w:autoSpaceDN/>
        <w:bidi w:val="0"/>
        <w:adjustRightInd/>
        <w:spacing w:after="0" w:line="586" w:lineRule="exact"/>
        <w:ind w:leftChars="0" w:firstLine="624"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统筹协调领导全市全面深化改革和全面小康工作、台湾和外事工作、市直机关单位党的建设工作。</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负责</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委机关后勤各项事务。</w:t>
      </w:r>
    </w:p>
    <w:p>
      <w:pPr>
        <w:keepNext w:val="0"/>
        <w:keepLines w:val="0"/>
        <w:pageBreakBefore w:val="0"/>
        <w:numPr>
          <w:ilvl w:val="0"/>
          <w:numId w:val="0"/>
        </w:numPr>
        <w:kinsoku/>
        <w:wordWrap/>
        <w:overflowPunct/>
        <w:topLinePunct w:val="0"/>
        <w:autoSpaceDE/>
        <w:autoSpaceDN/>
        <w:bidi w:val="0"/>
        <w:adjustRightInd/>
        <w:spacing w:line="586" w:lineRule="exact"/>
        <w:ind w:leftChars="0" w:firstLine="624" w:firstLineChars="200"/>
        <w:jc w:val="both"/>
        <w:textAlignment w:val="auto"/>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val="en-US" w:eastAsia="zh-CN"/>
        </w:rPr>
        <w:t>市档案馆</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楷体_GB2312" w:cs="Times New Roman"/>
          <w:b/>
          <w:bCs/>
          <w:color w:val="000000"/>
          <w:sz w:val="32"/>
          <w:szCs w:val="32"/>
          <w:lang w:val="en-US" w:eastAsia="zh-CN"/>
        </w:rPr>
      </w:pPr>
      <w:r>
        <w:rPr>
          <w:rFonts w:hint="eastAsia" w:ascii="Times New Roman" w:hAnsi="Times New Roman" w:eastAsia="楷体_GB2312" w:cs="Times New Roman"/>
          <w:b/>
          <w:bCs/>
          <w:color w:val="000000"/>
          <w:sz w:val="32"/>
          <w:szCs w:val="32"/>
          <w:lang w:val="en-US" w:eastAsia="zh-CN"/>
        </w:rPr>
        <w:t>（一）</w:t>
      </w:r>
      <w:r>
        <w:rPr>
          <w:rFonts w:hint="default" w:ascii="Times New Roman" w:hAnsi="Times New Roman" w:eastAsia="楷体_GB2312" w:cs="Times New Roman"/>
          <w:b/>
          <w:bCs/>
          <w:color w:val="000000"/>
          <w:sz w:val="32"/>
          <w:szCs w:val="32"/>
          <w:lang w:val="en-US" w:eastAsia="zh-CN"/>
        </w:rPr>
        <w:t>部门职责</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贯彻落实国家、省、市关于档案、党史、地方志的方针政策和决策部署，协助上级主管部门开展档案、党史、地方志工作。</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依法依规接收应移交进馆的档案资料，维护档案完整，保守党和国家机密；负责馆藏档案的实体安全和信息安全。</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负责征集散存在社会上的重要档案资料。</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负责对档案资料进行开发利用；负责向社会公众开展档案宣传教育；为各单位档案业务工作提供咨询服务。</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w:t>
      </w:r>
      <w:r>
        <w:rPr>
          <w:rFonts w:hint="default" w:ascii="Times New Roman" w:hAnsi="Times New Roman" w:eastAsia="仿宋_GB2312" w:cs="Times New Roman"/>
          <w:color w:val="000000"/>
          <w:spacing w:val="-6"/>
          <w:sz w:val="32"/>
          <w:szCs w:val="32"/>
        </w:rPr>
        <w:t>责馆藏档案数字化建设；协助推进全市“智慧档案”建设。</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负责党史研究、编写宁乡地方党史书籍、征集党史文物资料；负责向社会公众开展党史宣传教育；为各单位党史工作提供咨询服务。</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负责编纂《宁乡年鉴》、编修《宁乡市志》。</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负责收集、整理、保存、研究地方文献和地情文化；负责向社会公众开展地方志宣传教育；为各单位修志编纂工作提供咨询服务。</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完成市委、市政府和上级主管部门交办的其他任务。</w:t>
      </w:r>
    </w:p>
    <w:p>
      <w:pPr>
        <w:pStyle w:val="7"/>
        <w:keepNext w:val="0"/>
        <w:keepLines w:val="0"/>
        <w:pageBreakBefore w:val="0"/>
        <w:widowControl w:val="0"/>
        <w:numPr>
          <w:ilvl w:val="0"/>
          <w:numId w:val="2"/>
        </w:numPr>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楷体_GB2312" w:cs="Times New Roman"/>
          <w:b/>
          <w:bCs/>
          <w:color w:val="000000"/>
          <w:sz w:val="32"/>
          <w:szCs w:val="32"/>
          <w:lang w:val="en-US" w:eastAsia="zh-CN"/>
        </w:rPr>
      </w:pPr>
      <w:r>
        <w:rPr>
          <w:rFonts w:hint="default" w:ascii="Times New Roman" w:hAnsi="Times New Roman" w:eastAsia="楷体_GB2312" w:cs="Times New Roman"/>
          <w:b/>
          <w:bCs/>
          <w:color w:val="000000"/>
          <w:sz w:val="32"/>
          <w:szCs w:val="32"/>
          <w:lang w:val="en-US" w:eastAsia="zh-CN"/>
        </w:rPr>
        <w:t>机构设置</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86" w:lineRule="exact"/>
        <w:ind w:leftChars="0" w:firstLine="624" w:firstLineChars="200"/>
        <w:jc w:val="both"/>
        <w:textAlignment w:val="auto"/>
        <w:outlineLvl w:val="9"/>
        <w:rPr>
          <w:rFonts w:hint="default" w:ascii="Times New Roman" w:hAnsi="Times New Roman" w:eastAsia="楷体_GB2312" w:cs="Times New Roman"/>
          <w:b/>
          <w:bCs/>
          <w:color w:val="000000"/>
          <w:sz w:val="32"/>
          <w:szCs w:val="32"/>
          <w:lang w:val="en-US" w:eastAsia="zh-CN"/>
        </w:rPr>
      </w:pPr>
      <w:r>
        <w:rPr>
          <w:rFonts w:hint="default" w:ascii="Times New Roman" w:hAnsi="Times New Roman" w:eastAsia="楷体_GB2312" w:cs="Times New Roman"/>
          <w:b/>
          <w:bCs/>
          <w:color w:val="000000"/>
          <w:sz w:val="32"/>
          <w:szCs w:val="32"/>
          <w:lang w:val="en-US" w:eastAsia="zh-CN"/>
        </w:rPr>
        <w:t>市委办本级</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中共宁乡</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委办是宁乡政治、经济指挥中心，</w:t>
      </w:r>
      <w:r>
        <w:rPr>
          <w:rFonts w:hint="default" w:ascii="Times New Roman" w:hAnsi="Times New Roman" w:eastAsia="仿宋_GB2312" w:cs="Times New Roman"/>
          <w:color w:val="000000"/>
          <w:sz w:val="32"/>
          <w:szCs w:val="32"/>
          <w:lang w:val="en-US" w:eastAsia="zh-CN"/>
        </w:rPr>
        <w:t>内设十个科室</w:t>
      </w:r>
      <w:r>
        <w:rPr>
          <w:rFonts w:hint="default" w:ascii="Times New Roman" w:hAnsi="Times New Roman" w:eastAsia="仿宋_GB2312" w:cs="Times New Roman"/>
          <w:color w:val="000000"/>
          <w:sz w:val="32"/>
          <w:szCs w:val="32"/>
        </w:rPr>
        <w:t>，即</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委办</w:t>
      </w:r>
      <w:r>
        <w:rPr>
          <w:rFonts w:hint="default" w:ascii="Times New Roman" w:hAnsi="Times New Roman" w:eastAsia="仿宋_GB2312" w:cs="Times New Roman"/>
          <w:color w:val="000000"/>
          <w:sz w:val="32"/>
          <w:szCs w:val="32"/>
          <w:lang w:val="en-US" w:eastAsia="zh-CN"/>
        </w:rPr>
        <w:t>总值班室</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文电科、外事和台湾事务科、深化</w:t>
      </w:r>
      <w:r>
        <w:rPr>
          <w:rFonts w:hint="default" w:ascii="Times New Roman" w:hAnsi="Times New Roman" w:eastAsia="仿宋_GB2312" w:cs="Times New Roman"/>
          <w:color w:val="000000"/>
          <w:sz w:val="32"/>
          <w:szCs w:val="32"/>
        </w:rPr>
        <w:t>改革</w:t>
      </w:r>
      <w:r>
        <w:rPr>
          <w:rFonts w:hint="default" w:ascii="Times New Roman" w:hAnsi="Times New Roman" w:eastAsia="仿宋_GB2312" w:cs="Times New Roman"/>
          <w:color w:val="000000"/>
          <w:sz w:val="32"/>
          <w:szCs w:val="32"/>
          <w:lang w:val="en-US" w:eastAsia="zh-CN"/>
        </w:rPr>
        <w:t>和</w:t>
      </w:r>
      <w:r>
        <w:rPr>
          <w:rFonts w:hint="default" w:ascii="Times New Roman" w:hAnsi="Times New Roman" w:eastAsia="仿宋_GB2312" w:cs="Times New Roman"/>
          <w:color w:val="000000"/>
          <w:sz w:val="32"/>
          <w:szCs w:val="32"/>
        </w:rPr>
        <w:t>小康</w:t>
      </w:r>
      <w:r>
        <w:rPr>
          <w:rFonts w:hint="default" w:ascii="Times New Roman" w:hAnsi="Times New Roman" w:eastAsia="仿宋_GB2312" w:cs="Times New Roman"/>
          <w:color w:val="000000"/>
          <w:sz w:val="32"/>
          <w:szCs w:val="32"/>
          <w:lang w:val="en-US" w:eastAsia="zh-CN"/>
        </w:rPr>
        <w:t>推进科</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综调科</w:t>
      </w:r>
      <w:r>
        <w:rPr>
          <w:rFonts w:hint="default" w:ascii="Times New Roman" w:hAnsi="Times New Roman" w:eastAsia="仿宋_GB2312" w:cs="Times New Roman"/>
          <w:color w:val="000000"/>
          <w:sz w:val="32"/>
          <w:szCs w:val="32"/>
        </w:rPr>
        <w:t>、督查</w:t>
      </w:r>
      <w:r>
        <w:rPr>
          <w:rFonts w:hint="default" w:ascii="Times New Roman" w:hAnsi="Times New Roman" w:eastAsia="仿宋_GB2312" w:cs="Times New Roman"/>
          <w:color w:val="000000"/>
          <w:sz w:val="32"/>
          <w:szCs w:val="32"/>
          <w:lang w:val="en-US" w:eastAsia="zh-CN"/>
        </w:rPr>
        <w:t>科</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机要</w:t>
      </w:r>
      <w:r>
        <w:rPr>
          <w:rFonts w:hint="default" w:ascii="Times New Roman" w:hAnsi="Times New Roman" w:eastAsia="仿宋_GB2312" w:cs="Times New Roman"/>
          <w:color w:val="000000"/>
          <w:sz w:val="32"/>
          <w:szCs w:val="32"/>
          <w:lang w:val="en-US" w:eastAsia="zh-CN"/>
        </w:rPr>
        <w:t>保密科</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行政人事科、秘书科、信息科</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二级事业单位为市接待服务中心、党员</w:t>
      </w:r>
      <w:r>
        <w:rPr>
          <w:rFonts w:hint="default" w:ascii="Times New Roman" w:hAnsi="Times New Roman" w:eastAsia="仿宋_GB2312" w:cs="Times New Roman"/>
          <w:color w:val="000000"/>
          <w:sz w:val="32"/>
          <w:szCs w:val="32"/>
        </w:rPr>
        <w:t>服务中心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属正科级全额拨款单位，归口</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委办公室协调领导，人员和经费都在</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委办公室统一编制、核算。</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委办核定编制数为</w:t>
      </w:r>
      <w:r>
        <w:rPr>
          <w:rFonts w:hint="default" w:ascii="Times New Roman" w:hAnsi="Times New Roman" w:eastAsia="仿宋_GB2312" w:cs="Times New Roman"/>
          <w:color w:val="000000"/>
          <w:sz w:val="32"/>
          <w:szCs w:val="32"/>
          <w:lang w:val="en-US" w:eastAsia="zh-CN"/>
        </w:rPr>
        <w:t>69</w:t>
      </w:r>
      <w:r>
        <w:rPr>
          <w:rFonts w:hint="default" w:ascii="Times New Roman" w:hAnsi="Times New Roman" w:eastAsia="仿宋_GB2312" w:cs="Times New Roman"/>
          <w:color w:val="000000"/>
          <w:sz w:val="32"/>
          <w:szCs w:val="32"/>
        </w:rPr>
        <w:t>人，其中行政编制</w:t>
      </w:r>
      <w:r>
        <w:rPr>
          <w:rFonts w:hint="default" w:ascii="Times New Roman" w:hAnsi="Times New Roman" w:eastAsia="仿宋_GB2312" w:cs="Times New Roman"/>
          <w:color w:val="000000"/>
          <w:sz w:val="32"/>
          <w:szCs w:val="32"/>
          <w:lang w:val="en-US" w:eastAsia="zh-CN"/>
        </w:rPr>
        <w:t>登记人数40人</w:t>
      </w:r>
      <w:r>
        <w:rPr>
          <w:rFonts w:hint="default" w:ascii="Times New Roman" w:hAnsi="Times New Roman" w:eastAsia="仿宋_GB2312" w:cs="Times New Roman"/>
          <w:color w:val="000000"/>
          <w:sz w:val="32"/>
          <w:szCs w:val="32"/>
        </w:rPr>
        <w:t>，事业编制</w:t>
      </w:r>
      <w:r>
        <w:rPr>
          <w:rFonts w:hint="default" w:ascii="Times New Roman" w:hAnsi="Times New Roman" w:eastAsia="仿宋_GB2312" w:cs="Times New Roman"/>
          <w:color w:val="000000"/>
          <w:sz w:val="32"/>
          <w:szCs w:val="32"/>
          <w:lang w:val="en-US" w:eastAsia="zh-CN"/>
        </w:rPr>
        <w:t>登记人数22</w:t>
      </w:r>
      <w:r>
        <w:rPr>
          <w:rFonts w:hint="default" w:ascii="Times New Roman" w:hAnsi="Times New Roman" w:eastAsia="仿宋_GB2312" w:cs="Times New Roman"/>
          <w:color w:val="000000"/>
          <w:sz w:val="32"/>
          <w:szCs w:val="32"/>
        </w:rPr>
        <w:t>人，</w:t>
      </w:r>
      <w:r>
        <w:rPr>
          <w:rFonts w:hint="default" w:ascii="Times New Roman" w:hAnsi="Times New Roman" w:eastAsia="仿宋_GB2312" w:cs="Times New Roman"/>
          <w:color w:val="000000"/>
          <w:sz w:val="32"/>
          <w:szCs w:val="32"/>
          <w:lang w:val="en-US" w:eastAsia="zh-CN"/>
        </w:rPr>
        <w:t>工勤编制登记人数7人，</w:t>
      </w:r>
      <w:r>
        <w:rPr>
          <w:rFonts w:hint="default" w:ascii="Times New Roman" w:hAnsi="Times New Roman" w:eastAsia="仿宋_GB2312" w:cs="Times New Roman"/>
          <w:color w:val="000000"/>
          <w:sz w:val="32"/>
          <w:szCs w:val="32"/>
          <w:lang w:eastAsia="zh-CN"/>
        </w:rPr>
        <w:t>20</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12</w:t>
      </w:r>
      <w:r>
        <w:rPr>
          <w:rFonts w:hint="default" w:ascii="Times New Roman" w:hAnsi="Times New Roman" w:eastAsia="仿宋_GB2312" w:cs="Times New Roman"/>
          <w:color w:val="000000"/>
          <w:sz w:val="32"/>
          <w:szCs w:val="32"/>
        </w:rPr>
        <w:t>月底实有在职人数</w:t>
      </w:r>
      <w:r>
        <w:rPr>
          <w:rFonts w:hint="default" w:ascii="Times New Roman" w:hAnsi="Times New Roman" w:eastAsia="仿宋_GB2312" w:cs="Times New Roman"/>
          <w:color w:val="000000"/>
          <w:sz w:val="32"/>
          <w:szCs w:val="32"/>
          <w:lang w:val="en-US" w:eastAsia="zh-CN"/>
        </w:rPr>
        <w:t>58</w:t>
      </w:r>
      <w:r>
        <w:rPr>
          <w:rFonts w:hint="default" w:ascii="Times New Roman" w:hAnsi="Times New Roman" w:eastAsia="仿宋_GB2312" w:cs="Times New Roman"/>
          <w:color w:val="000000"/>
          <w:sz w:val="32"/>
          <w:szCs w:val="32"/>
        </w:rPr>
        <w:t>人</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57</w:t>
      </w:r>
      <w:r>
        <w:rPr>
          <w:rFonts w:hint="default" w:ascii="Times New Roman" w:hAnsi="Times New Roman" w:eastAsia="仿宋_GB2312" w:cs="Times New Roman"/>
          <w:color w:val="000000"/>
          <w:sz w:val="32"/>
          <w:szCs w:val="32"/>
        </w:rPr>
        <w:t>人财政统发，临时人员</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人），离退休人员2</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人（其中离休人员1人）</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86" w:lineRule="exact"/>
        <w:ind w:leftChars="0" w:firstLine="624" w:firstLineChars="200"/>
        <w:jc w:val="both"/>
        <w:textAlignment w:val="auto"/>
        <w:outlineLvl w:val="9"/>
        <w:rPr>
          <w:rFonts w:hint="default" w:ascii="Times New Roman" w:hAnsi="Times New Roman" w:eastAsia="楷体_GB2312" w:cs="Times New Roman"/>
          <w:b/>
          <w:bCs/>
          <w:color w:val="000000"/>
          <w:sz w:val="32"/>
          <w:szCs w:val="32"/>
          <w:lang w:val="en-US" w:eastAsia="zh-CN"/>
        </w:rPr>
      </w:pPr>
      <w:r>
        <w:rPr>
          <w:rFonts w:hint="default" w:ascii="Times New Roman" w:hAnsi="Times New Roman" w:eastAsia="楷体_GB2312" w:cs="Times New Roman"/>
          <w:b/>
          <w:bCs/>
          <w:color w:val="000000"/>
          <w:sz w:val="32"/>
          <w:szCs w:val="32"/>
          <w:lang w:val="en-US" w:eastAsia="zh-CN"/>
        </w:rPr>
        <w:t>市档案馆</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宁乡市档案馆内设机构包括：办公室、党史部、方志部、档案查阅利用部、档案技术保护部5个职能科室</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核定编制登记人数20人，2021年12月底实有在职人数16人，离退休人数17人。</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楷体_GB2312" w:cs="Times New Roman"/>
          <w:b/>
          <w:bCs/>
          <w:color w:val="000000"/>
          <w:spacing w:val="-6"/>
          <w:sz w:val="32"/>
          <w:szCs w:val="32"/>
          <w:lang w:val="en-US" w:eastAsia="zh-CN"/>
        </w:rPr>
      </w:pPr>
      <w:r>
        <w:rPr>
          <w:rFonts w:hint="default" w:ascii="Times New Roman" w:hAnsi="Times New Roman" w:eastAsia="楷体_GB2312" w:cs="Times New Roman"/>
          <w:b/>
          <w:bCs/>
          <w:color w:val="000000"/>
          <w:sz w:val="32"/>
          <w:szCs w:val="32"/>
          <w:lang w:val="en-US" w:eastAsia="zh-CN"/>
        </w:rPr>
        <w:t>（三）</w:t>
      </w:r>
      <w:r>
        <w:rPr>
          <w:rFonts w:hint="default" w:ascii="Times New Roman" w:hAnsi="Times New Roman" w:eastAsia="楷体_GB2312" w:cs="Times New Roman"/>
          <w:b/>
          <w:bCs/>
          <w:color w:val="000000"/>
          <w:spacing w:val="-6"/>
          <w:sz w:val="32"/>
          <w:szCs w:val="32"/>
          <w:lang w:val="en-US" w:eastAsia="zh-CN"/>
        </w:rPr>
        <w:t>部门整体支出规模、使用方向和主要内容、涉及范围等</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年支出预算</w:t>
      </w:r>
      <w:r>
        <w:rPr>
          <w:rFonts w:hint="default" w:ascii="Times New Roman" w:hAnsi="Times New Roman" w:eastAsia="仿宋" w:cs="Times New Roman"/>
          <w:color w:val="000000"/>
          <w:sz w:val="32"/>
          <w:szCs w:val="32"/>
          <w:lang w:val="en-US" w:eastAsia="zh-CN"/>
        </w:rPr>
        <w:t>2142.44</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val="en-US" w:eastAsia="zh-CN"/>
        </w:rPr>
        <w:t>其中，财政拨款支出</w:t>
      </w:r>
      <w:r>
        <w:rPr>
          <w:rFonts w:hint="default" w:ascii="Times New Roman" w:hAnsi="Times New Roman" w:eastAsia="仿宋" w:cs="Times New Roman"/>
          <w:color w:val="000000"/>
          <w:sz w:val="32"/>
          <w:szCs w:val="32"/>
          <w:lang w:val="en-US" w:eastAsia="zh-CN"/>
        </w:rPr>
        <w:t>2142.44</w:t>
      </w:r>
      <w:r>
        <w:rPr>
          <w:rFonts w:hint="default" w:ascii="Times New Roman" w:hAnsi="Times New Roman" w:eastAsia="仿宋_GB2312" w:cs="Times New Roman"/>
          <w:color w:val="000000"/>
          <w:sz w:val="32"/>
          <w:szCs w:val="32"/>
          <w:lang w:val="en-US" w:eastAsia="zh-CN"/>
        </w:rPr>
        <w:t>万元，2021年决算支出</w:t>
      </w:r>
      <w:r>
        <w:rPr>
          <w:rFonts w:hint="default" w:ascii="Times New Roman" w:hAnsi="Times New Roman" w:eastAsia="仿宋" w:cs="Times New Roman"/>
          <w:color w:val="000000"/>
          <w:sz w:val="32"/>
          <w:szCs w:val="32"/>
          <w:lang w:val="en-US" w:eastAsia="zh-CN"/>
        </w:rPr>
        <w:t>2406.73</w:t>
      </w:r>
      <w:r>
        <w:rPr>
          <w:rFonts w:hint="default" w:ascii="Times New Roman" w:hAnsi="Times New Roman" w:eastAsia="仿宋_GB2312" w:cs="Times New Roman"/>
          <w:color w:val="000000"/>
          <w:sz w:val="32"/>
          <w:szCs w:val="32"/>
          <w:lang w:val="en-US" w:eastAsia="zh-CN"/>
        </w:rPr>
        <w:t>万元，其中财政拨款支出</w:t>
      </w:r>
      <w:r>
        <w:rPr>
          <w:rFonts w:hint="default" w:ascii="Times New Roman" w:hAnsi="Times New Roman" w:eastAsia="仿宋" w:cs="Times New Roman"/>
          <w:color w:val="000000"/>
          <w:sz w:val="32"/>
          <w:szCs w:val="32"/>
          <w:lang w:val="en-US" w:eastAsia="zh-CN"/>
        </w:rPr>
        <w:t>2406.73</w:t>
      </w:r>
      <w:r>
        <w:rPr>
          <w:rFonts w:hint="default" w:ascii="Times New Roman" w:hAnsi="Times New Roman" w:eastAsia="仿宋_GB2312" w:cs="Times New Roman"/>
          <w:color w:val="000000"/>
          <w:sz w:val="32"/>
          <w:szCs w:val="32"/>
          <w:lang w:val="en-US" w:eastAsia="zh-CN"/>
        </w:rPr>
        <w:t>万元，基本支出1547.41万元，项目支出859.32万元。较年初预算增加264.3万元，增加的原因是宁乡市第二次党代会的召开费用</w:t>
      </w:r>
      <w:r>
        <w:rPr>
          <w:rFonts w:hint="eastAsia" w:ascii="Times New Roman" w:hAnsi="Times New Roman" w:eastAsia="仿宋_GB2312" w:cs="Times New Roman"/>
          <w:color w:val="000000"/>
          <w:sz w:val="32"/>
          <w:szCs w:val="32"/>
          <w:lang w:val="en-US" w:eastAsia="zh-CN"/>
        </w:rPr>
        <w:t>、档案馆新增项目支出。</w:t>
      </w:r>
      <w:r>
        <w:rPr>
          <w:rFonts w:hint="default" w:ascii="Times New Roman" w:hAnsi="Times New Roman" w:eastAsia="仿宋_GB2312" w:cs="Times New Roman"/>
          <w:color w:val="auto"/>
          <w:sz w:val="32"/>
          <w:szCs w:val="32"/>
          <w:shd w:val="clear" w:color="auto" w:fill="FFFFFF"/>
          <w:lang w:val="en-US" w:eastAsia="zh-CN"/>
        </w:rPr>
        <w:t>主要用于以下方面：一般公共服务支出2195.78万元，占比91.23%；社会保障和就业支出95.07万元，占比3.95%；卫生健康支出55.03万元，占比2.29%；住房保障支出60.85万元，占比2.53%。</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24"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二、部门整体支出管理及使用情况</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楷体_GB2312" w:cs="Times New Roman"/>
          <w:b/>
          <w:bCs/>
          <w:color w:val="000000"/>
          <w:sz w:val="32"/>
          <w:szCs w:val="32"/>
          <w:lang w:val="en-US" w:eastAsia="zh-CN"/>
        </w:rPr>
      </w:pPr>
      <w:r>
        <w:rPr>
          <w:rFonts w:hint="default" w:ascii="Times New Roman" w:hAnsi="Times New Roman" w:eastAsia="楷体_GB2312" w:cs="Times New Roman"/>
          <w:b/>
          <w:bCs/>
          <w:color w:val="000000"/>
          <w:sz w:val="32"/>
          <w:szCs w:val="32"/>
          <w:lang w:val="en-US" w:eastAsia="zh-CN"/>
        </w:rPr>
        <w:t>（一）基本支出</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24" w:firstLineChars="20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color w:val="000000"/>
          <w:sz w:val="32"/>
          <w:szCs w:val="32"/>
          <w:lang w:val="en-US" w:eastAsia="zh-CN"/>
        </w:rPr>
        <w:t>基本支出是指为保障单位机构正常运转、完成日常工作任务而发生的各项支出，包括用于基本工资、津贴补贴等人员经费及办公费、印刷费、水电费、办公设备购置等日常公用经费，2021年基本支出1547.41万元，其中一般商品和服务性支出160.95万元，“三公”经费支出9.4万元，其中公务接待费用8.7万元。“三公”经费严格按照中央八项规定精神要求使用，未超标准、超规格，公务接待费比去年减少主要是接待批次和人数减少。</w:t>
      </w:r>
    </w:p>
    <w:p>
      <w:pPr>
        <w:pStyle w:val="7"/>
        <w:keepNext w:val="0"/>
        <w:keepLines w:val="0"/>
        <w:pageBreakBefore w:val="0"/>
        <w:widowControl w:val="0"/>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楷体_GB2312" w:cs="Times New Roman"/>
          <w:b/>
          <w:bCs/>
          <w:color w:val="000000"/>
          <w:sz w:val="32"/>
          <w:szCs w:val="32"/>
          <w:lang w:val="en-US" w:eastAsia="zh-CN"/>
        </w:rPr>
      </w:pPr>
      <w:r>
        <w:rPr>
          <w:rFonts w:hint="default" w:ascii="Times New Roman" w:hAnsi="Times New Roman" w:eastAsia="楷体_GB2312" w:cs="Times New Roman"/>
          <w:b/>
          <w:bCs/>
          <w:color w:val="000000"/>
          <w:sz w:val="32"/>
          <w:szCs w:val="32"/>
          <w:lang w:val="en-US" w:eastAsia="zh-CN"/>
        </w:rPr>
        <w:t>（二）项目支出</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项目支出是指单位为完成特定行政任务或事业发展目标而发生的支出，2021年年初预算数为600万元，其中</w:t>
      </w:r>
      <w:r>
        <w:rPr>
          <w:rFonts w:hint="default" w:ascii="Times New Roman" w:hAnsi="Times New Roman" w:eastAsia="仿宋_GB2312" w:cs="Times New Roman"/>
          <w:color w:val="000000"/>
          <w:sz w:val="32"/>
          <w:szCs w:val="32"/>
        </w:rPr>
        <w:t>一般事务性项目支出</w:t>
      </w:r>
      <w:r>
        <w:rPr>
          <w:rFonts w:hint="default" w:ascii="Times New Roman" w:hAnsi="Times New Roman" w:eastAsia="仿宋_GB2312" w:cs="Times New Roman"/>
          <w:color w:val="000000"/>
          <w:sz w:val="32"/>
          <w:szCs w:val="32"/>
          <w:lang w:val="en-US" w:eastAsia="zh-CN"/>
        </w:rPr>
        <w:t>570</w:t>
      </w:r>
      <w:r>
        <w:rPr>
          <w:rFonts w:hint="default" w:ascii="Times New Roman" w:hAnsi="Times New Roman" w:eastAsia="仿宋_GB2312" w:cs="Times New Roman"/>
          <w:color w:val="000000"/>
          <w:sz w:val="32"/>
          <w:szCs w:val="32"/>
        </w:rPr>
        <w:t>万元，项目化项目支出</w:t>
      </w:r>
      <w:r>
        <w:rPr>
          <w:rFonts w:hint="default" w:ascii="Times New Roman" w:hAnsi="Times New Roman" w:eastAsia="仿宋_GB2312" w:cs="Times New Roman"/>
          <w:color w:val="000000"/>
          <w:sz w:val="32"/>
          <w:szCs w:val="32"/>
          <w:lang w:val="en-US" w:eastAsia="zh-CN"/>
        </w:rPr>
        <w:t>30</w:t>
      </w:r>
      <w:r>
        <w:rPr>
          <w:rFonts w:hint="default" w:ascii="Times New Roman" w:hAnsi="Times New Roman" w:eastAsia="仿宋_GB2312" w:cs="Times New Roman"/>
          <w:color w:val="000000"/>
          <w:sz w:val="32"/>
          <w:szCs w:val="32"/>
        </w:rPr>
        <w:t>万元，主要</w:t>
      </w:r>
      <w:r>
        <w:rPr>
          <w:rFonts w:hint="default" w:ascii="Times New Roman" w:hAnsi="Times New Roman" w:eastAsia="仿宋_GB2312" w:cs="Times New Roman"/>
          <w:color w:val="000000"/>
          <w:sz w:val="32"/>
          <w:szCs w:val="32"/>
          <w:lang w:val="en-US" w:eastAsia="zh-CN"/>
        </w:rPr>
        <w:t>用于</w:t>
      </w:r>
      <w:r>
        <w:rPr>
          <w:rFonts w:hint="default" w:ascii="Times New Roman" w:hAnsi="Times New Roman" w:eastAsia="仿宋_GB2312" w:cs="Times New Roman"/>
          <w:color w:val="000000"/>
          <w:sz w:val="32"/>
          <w:szCs w:val="32"/>
        </w:rPr>
        <w:t>接待费、会议费、</w:t>
      </w:r>
      <w:r>
        <w:rPr>
          <w:rFonts w:hint="default" w:ascii="Times New Roman" w:hAnsi="Times New Roman" w:eastAsia="仿宋_GB2312" w:cs="Times New Roman"/>
          <w:color w:val="000000"/>
          <w:sz w:val="32"/>
          <w:szCs w:val="32"/>
          <w:lang w:val="en-US" w:eastAsia="zh-CN"/>
        </w:rPr>
        <w:t>培训费、</w:t>
      </w:r>
      <w:r>
        <w:rPr>
          <w:rFonts w:hint="default" w:ascii="Times New Roman" w:hAnsi="Times New Roman" w:eastAsia="仿宋_GB2312" w:cs="Times New Roman"/>
          <w:color w:val="000000"/>
          <w:sz w:val="32"/>
          <w:szCs w:val="32"/>
        </w:rPr>
        <w:t>印刷费等</w:t>
      </w:r>
      <w:r>
        <w:rPr>
          <w:rFonts w:hint="default" w:ascii="Times New Roman" w:hAnsi="Times New Roman" w:eastAsia="仿宋_GB2312" w:cs="Times New Roman"/>
          <w:color w:val="000000"/>
          <w:sz w:val="32"/>
          <w:szCs w:val="32"/>
          <w:lang w:val="en-US" w:eastAsia="zh-CN"/>
        </w:rPr>
        <w:t>方面</w:t>
      </w:r>
      <w:r>
        <w:rPr>
          <w:rFonts w:hint="default" w:ascii="Times New Roman" w:hAnsi="Times New Roman" w:eastAsia="仿宋_GB2312" w:cs="Times New Roman"/>
          <w:color w:val="000000"/>
          <w:sz w:val="32"/>
          <w:szCs w:val="32"/>
        </w:rPr>
        <w:t>支出。</w:t>
      </w:r>
      <w:r>
        <w:rPr>
          <w:rFonts w:hint="default" w:ascii="Times New Roman" w:hAnsi="Times New Roman" w:eastAsia="仿宋_GB2312" w:cs="Times New Roman"/>
          <w:color w:val="000000"/>
          <w:sz w:val="32"/>
          <w:szCs w:val="32"/>
          <w:lang w:val="en-US" w:eastAsia="zh-CN"/>
        </w:rPr>
        <w:t>2021年决算项目支出859.32万元，较上年增加的原因主要是宁乡市第二次党代会的召开费用</w:t>
      </w:r>
      <w:r>
        <w:rPr>
          <w:rFonts w:hint="eastAsia" w:ascii="Times New Roman" w:hAnsi="Times New Roman" w:eastAsia="仿宋_GB2312" w:cs="Times New Roman"/>
          <w:color w:val="000000"/>
          <w:sz w:val="32"/>
          <w:szCs w:val="32"/>
          <w:lang w:val="en-US" w:eastAsia="zh-CN"/>
        </w:rPr>
        <w:t>和档案馆新增项目支出</w:t>
      </w:r>
      <w:r>
        <w:rPr>
          <w:rFonts w:hint="default" w:ascii="Times New Roman" w:hAnsi="Times New Roman" w:eastAsia="仿宋_GB2312" w:cs="Times New Roman"/>
          <w:color w:val="000000"/>
          <w:sz w:val="32"/>
          <w:szCs w:val="32"/>
          <w:lang w:val="en-US" w:eastAsia="zh-CN"/>
        </w:rPr>
        <w:t>。按照市本级预算绩效管理工作的总体要求，所有项目资金全部实行整体支出绩效目标管理，项目资金的使用严格做到谁经手谁负责、依法依规依程序办理，单位纪检、内审、财务对开展项目实行全程监管，在节约财政资金的同时确保了市委决策部署的高效落实到位。</w:t>
      </w:r>
    </w:p>
    <w:p>
      <w:pPr>
        <w:keepNext w:val="0"/>
        <w:keepLines w:val="0"/>
        <w:pageBreakBefore w:val="0"/>
        <w:kinsoku/>
        <w:wordWrap/>
        <w:overflowPunct/>
        <w:topLinePunct w:val="0"/>
        <w:autoSpaceDE/>
        <w:autoSpaceDN/>
        <w:bidi w:val="0"/>
        <w:adjustRightInd/>
        <w:spacing w:line="586" w:lineRule="exact"/>
        <w:ind w:left="0" w:leftChars="0" w:firstLine="624"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三、部门项目组织实施情况</w:t>
      </w:r>
    </w:p>
    <w:p>
      <w:pPr>
        <w:keepNext w:val="0"/>
        <w:keepLines w:val="0"/>
        <w:pageBreakBefore w:val="0"/>
        <w:kinsoku/>
        <w:wordWrap/>
        <w:overflowPunct/>
        <w:topLinePunct w:val="0"/>
        <w:autoSpaceDE/>
        <w:autoSpaceDN/>
        <w:bidi w:val="0"/>
        <w:adjustRightInd/>
        <w:spacing w:line="586" w:lineRule="exact"/>
        <w:ind w:left="0" w:lef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sz w:val="32"/>
          <w:szCs w:val="32"/>
        </w:rPr>
        <w:t>（一）</w:t>
      </w:r>
      <w:r>
        <w:rPr>
          <w:rFonts w:hint="default" w:ascii="Times New Roman" w:hAnsi="Times New Roman" w:eastAsia="仿宋_GB2312" w:cs="Times New Roman"/>
          <w:sz w:val="32"/>
          <w:szCs w:val="32"/>
          <w:lang w:val="en-US" w:eastAsia="zh-CN"/>
        </w:rPr>
        <w:t>我办的所有项目严格按照市财政采控办的要求进行了招投标、实施过程严格按照采购合同实行，未随意调整、更改合同内容，项目完工后严格按要求进行验收，验收合格后按合同要求办理支付手续。</w:t>
      </w:r>
    </w:p>
    <w:p>
      <w:pPr>
        <w:keepNext w:val="0"/>
        <w:keepLines w:val="0"/>
        <w:pageBreakBefore w:val="0"/>
        <w:kinsoku/>
        <w:wordWrap/>
        <w:overflowPunct/>
        <w:topLinePunct w:val="0"/>
        <w:autoSpaceDE/>
        <w:autoSpaceDN/>
        <w:bidi w:val="0"/>
        <w:adjustRightInd/>
        <w:spacing w:line="586" w:lineRule="exact"/>
        <w:ind w:left="0" w:lef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sz w:val="32"/>
          <w:szCs w:val="32"/>
        </w:rPr>
        <w:t>（二）</w:t>
      </w:r>
      <w:r>
        <w:rPr>
          <w:rFonts w:hint="default" w:ascii="Times New Roman" w:hAnsi="Times New Roman" w:eastAsia="仿宋_GB2312" w:cs="Times New Roman"/>
          <w:sz w:val="32"/>
          <w:szCs w:val="32"/>
          <w:lang w:val="en-US" w:eastAsia="zh-CN"/>
        </w:rPr>
        <w:t>我办每一个项目的实施都严格按照采购法和单位财务制度执行，谁经手谁负责，同时由单位纪检、内审、财务相关人员全程监管，确保资金的有效利用。</w:t>
      </w:r>
    </w:p>
    <w:p>
      <w:pPr>
        <w:keepNext w:val="0"/>
        <w:keepLines w:val="0"/>
        <w:pageBreakBefore w:val="0"/>
        <w:kinsoku/>
        <w:wordWrap/>
        <w:overflowPunct/>
        <w:topLinePunct w:val="0"/>
        <w:autoSpaceDE/>
        <w:autoSpaceDN/>
        <w:bidi w:val="0"/>
        <w:adjustRightInd/>
        <w:spacing w:line="586" w:lineRule="exact"/>
        <w:ind w:left="0" w:leftChars="0" w:firstLine="624"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四、资产管理情况</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2021年度末固定资产总额752.58万元，其中：车辆13辆（一般公务用车13辆，其中大中型载客汽车1辆，价值52.31万元），共计价值415.08万元，单价在20万元以上的设备无，其他固定资产共计价值337.5万元。全年新增固定资产0.93万元，主要是通用设备、文件柜，我办所有固定资产的购置、使用及处置均由行政科专人负责，制定了相关的管理办法，确保了资产的有效利用。</w:t>
      </w:r>
    </w:p>
    <w:p>
      <w:pPr>
        <w:keepNext w:val="0"/>
        <w:keepLines w:val="0"/>
        <w:pageBreakBefore w:val="0"/>
        <w:kinsoku/>
        <w:wordWrap/>
        <w:overflowPunct/>
        <w:topLinePunct w:val="0"/>
        <w:autoSpaceDE/>
        <w:autoSpaceDN/>
        <w:bidi w:val="0"/>
        <w:adjustRightInd/>
        <w:spacing w:line="586" w:lineRule="exact"/>
        <w:ind w:left="0" w:leftChars="0" w:firstLine="624"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五、部门整体支出绩效情况</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86" w:lineRule="exact"/>
        <w:ind w:left="0" w:leftChars="0" w:firstLine="624"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我办的项目支出属于机关运行经费，是根据我办职能和内设机构承担的业务工作需要设立，整体绩效目标是加强我办财政科学化精细化管理，提高财政资金使用效益，确保办公室各项工作正常开展，单位履职到位，年度绩效目标是扩大政府采购范围和规模，提高财政监管水平，保障国库集中支付，确保机关各项工作正常开展。按照市本级预算绩效管理工作的总体要求，2021年市委办项目支出859.32万元，全部实行整体支出绩效目标管理，编报绩效目标的项目10个，涉及项目支出859.23万元，全部实行项目支出绩效目标管理。预算调整项目资金264.3万元也按要求全</w:t>
      </w:r>
      <w:bookmarkStart w:id="0" w:name="_GoBack"/>
      <w:bookmarkEnd w:id="0"/>
      <w:r>
        <w:rPr>
          <w:rFonts w:hint="default" w:ascii="Times New Roman" w:hAnsi="Times New Roman" w:eastAsia="仿宋_GB2312" w:cs="Times New Roman"/>
          <w:color w:val="000000"/>
          <w:sz w:val="32"/>
          <w:szCs w:val="32"/>
          <w:lang w:val="en-US" w:eastAsia="zh-CN"/>
        </w:rPr>
        <w:t>部实行支出绩效目标管理，在项目的实施和资金的使用过程中，始终坚持厉行节约的原则，严格按照中央八项规定精神和上级及本单位财务制度来管控，围绕市委重大决策部署、中心工作抓落实，建设让党委放心、让人民满意的模范机关、高效机关、廉洁机关，确保了市委各项决策部署的贯彻落实，有效推进了宁乡经济社会高质量发展。</w:t>
      </w:r>
    </w:p>
    <w:p>
      <w:pPr>
        <w:keepNext w:val="0"/>
        <w:keepLines w:val="0"/>
        <w:pageBreakBefore w:val="0"/>
        <w:kinsoku/>
        <w:wordWrap/>
        <w:overflowPunct/>
        <w:topLinePunct w:val="0"/>
        <w:autoSpaceDE/>
        <w:autoSpaceDN/>
        <w:bidi w:val="0"/>
        <w:adjustRightInd/>
        <w:spacing w:line="586" w:lineRule="exact"/>
        <w:ind w:left="0" w:leftChars="0" w:firstLine="624"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六、存在的主要问题</w:t>
      </w:r>
    </w:p>
    <w:p>
      <w:pPr>
        <w:keepNext w:val="0"/>
        <w:keepLines w:val="0"/>
        <w:pageBreakBefore w:val="0"/>
        <w:kinsoku/>
        <w:wordWrap/>
        <w:overflowPunct/>
        <w:topLinePunct w:val="0"/>
        <w:autoSpaceDE/>
        <w:autoSpaceDN/>
        <w:bidi w:val="0"/>
        <w:adjustRightInd/>
        <w:spacing w:line="586" w:lineRule="exact"/>
        <w:ind w:left="0" w:lef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存在的主要问题是由于市委办的特殊性，市委和市主要领导临时增加的工作任务较多、市委办人员流动较大，导致预算编制不够精准，资产管理方面由于历史遗留问题，导致车辆账实不符</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市档案馆档案数字化未有效实施，档案管理水平有待提高，车辆存在账实不符情况。</w:t>
      </w:r>
    </w:p>
    <w:p>
      <w:pPr>
        <w:keepNext w:val="0"/>
        <w:keepLines w:val="0"/>
        <w:pageBreakBefore w:val="0"/>
        <w:kinsoku/>
        <w:wordWrap/>
        <w:overflowPunct/>
        <w:topLinePunct w:val="0"/>
        <w:autoSpaceDE/>
        <w:autoSpaceDN/>
        <w:bidi w:val="0"/>
        <w:adjustRightInd/>
        <w:spacing w:line="586" w:lineRule="exact"/>
        <w:ind w:left="0" w:leftChars="0" w:firstLine="624"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七、改进措施和有关建议</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86" w:lineRule="exact"/>
        <w:ind w:left="0" w:leftChars="0" w:firstLine="624"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进一步严格执行国家财经法律法规和内部财务财产管理制度，控制和规范管理经费支出，增强经费预算刚性，提高资金使用效益。</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417" w:left="1531" w:header="851" w:footer="1304" w:gutter="0"/>
      <w:pgNumType w:fmt="decimal"/>
      <w:cols w:space="0" w:num="1"/>
      <w:rtlGutter w:val="0"/>
      <w:docGrid w:type="linesAndChars" w:linePitch="57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ascii="Times New Roman" w:hAnsi="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1"/>
                              <w:rFonts w:hint="eastAsia" w:ascii="Times New Roman" w:hAnsi="Times New Roman"/>
                              <w:sz w:val="28"/>
                              <w:szCs w:val="28"/>
                              <w:lang w:eastAsia="zh-CN"/>
                            </w:rPr>
                          </w:pPr>
                          <w:r>
                            <w:rPr>
                              <w:rStyle w:val="11"/>
                              <w:rFonts w:hint="eastAsia" w:ascii="Times New Roman" w:hAnsi="Times New Roman"/>
                              <w:sz w:val="28"/>
                              <w:szCs w:val="28"/>
                              <w:lang w:eastAsia="zh-CN"/>
                            </w:rPr>
                            <w:t>—</w:t>
                          </w:r>
                          <w:r>
                            <w:rPr>
                              <w:rStyle w:val="11"/>
                              <w:rFonts w:hint="eastAsia" w:ascii="Times New Roman" w:hAnsi="Times New Roman"/>
                              <w:sz w:val="28"/>
                              <w:szCs w:val="28"/>
                              <w:lang w:val="en-US" w:eastAsia="zh-CN"/>
                            </w:rPr>
                            <w:t xml:space="preserve"> </w:t>
                          </w:r>
                          <w:r>
                            <w:rPr>
                              <w:rStyle w:val="11"/>
                              <w:rFonts w:ascii="Times New Roman" w:hAnsi="Times New Roman"/>
                              <w:sz w:val="28"/>
                              <w:szCs w:val="28"/>
                            </w:rPr>
                            <w:fldChar w:fldCharType="begin"/>
                          </w:r>
                          <w:r>
                            <w:rPr>
                              <w:rStyle w:val="11"/>
                              <w:rFonts w:ascii="宋体" w:hAnsi="宋体"/>
                              <w:sz w:val="28"/>
                              <w:szCs w:val="28"/>
                            </w:rPr>
                            <w:instrText xml:space="preserve">PAGE  </w:instrText>
                          </w:r>
                          <w:r>
                            <w:rPr>
                              <w:rStyle w:val="11"/>
                              <w:rFonts w:ascii="Times New Roman" w:hAnsi="Times New Roman"/>
                              <w:sz w:val="28"/>
                              <w:szCs w:val="28"/>
                            </w:rPr>
                            <w:fldChar w:fldCharType="separate"/>
                          </w:r>
                          <w:r>
                            <w:rPr>
                              <w:rStyle w:val="11"/>
                              <w:rFonts w:ascii="宋体" w:hAnsi="宋体"/>
                              <w:sz w:val="28"/>
                              <w:szCs w:val="28"/>
                            </w:rPr>
                            <w:t>7</w:t>
                          </w:r>
                          <w:r>
                            <w:rPr>
                              <w:rStyle w:val="11"/>
                              <w:rFonts w:ascii="Times New Roman" w:hAnsi="Times New Roman"/>
                              <w:sz w:val="28"/>
                              <w:szCs w:val="28"/>
                            </w:rPr>
                            <w:fldChar w:fldCharType="end"/>
                          </w:r>
                          <w:r>
                            <w:rPr>
                              <w:rStyle w:val="11"/>
                              <w:rFonts w:hint="eastAsia" w:ascii="Times New Roman" w:hAnsi="Times New Roman"/>
                              <w:sz w:val="28"/>
                              <w:szCs w:val="28"/>
                              <w:lang w:val="en-US" w:eastAsia="zh-CN"/>
                            </w:rPr>
                            <w:t xml:space="preserve"> </w:t>
                          </w:r>
                          <w:r>
                            <w:rPr>
                              <w:rStyle w:val="11"/>
                              <w:rFonts w:hint="eastAsia" w:ascii="Times New Roman" w:hAnsi="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Style w:val="11"/>
                        <w:rFonts w:hint="eastAsia" w:ascii="Times New Roman" w:hAnsi="Times New Roman"/>
                        <w:sz w:val="28"/>
                        <w:szCs w:val="28"/>
                        <w:lang w:eastAsia="zh-CN"/>
                      </w:rPr>
                    </w:pPr>
                    <w:r>
                      <w:rPr>
                        <w:rStyle w:val="11"/>
                        <w:rFonts w:hint="eastAsia" w:ascii="Times New Roman" w:hAnsi="Times New Roman"/>
                        <w:sz w:val="28"/>
                        <w:szCs w:val="28"/>
                        <w:lang w:eastAsia="zh-CN"/>
                      </w:rPr>
                      <w:t>—</w:t>
                    </w:r>
                    <w:r>
                      <w:rPr>
                        <w:rStyle w:val="11"/>
                        <w:rFonts w:hint="eastAsia" w:ascii="Times New Roman" w:hAnsi="Times New Roman"/>
                        <w:sz w:val="28"/>
                        <w:szCs w:val="28"/>
                        <w:lang w:val="en-US" w:eastAsia="zh-CN"/>
                      </w:rPr>
                      <w:t xml:space="preserve"> </w:t>
                    </w:r>
                    <w:r>
                      <w:rPr>
                        <w:rStyle w:val="11"/>
                        <w:rFonts w:ascii="Times New Roman" w:hAnsi="Times New Roman"/>
                        <w:sz w:val="28"/>
                        <w:szCs w:val="28"/>
                      </w:rPr>
                      <w:fldChar w:fldCharType="begin"/>
                    </w:r>
                    <w:r>
                      <w:rPr>
                        <w:rStyle w:val="11"/>
                        <w:rFonts w:ascii="宋体" w:hAnsi="宋体"/>
                        <w:sz w:val="28"/>
                        <w:szCs w:val="28"/>
                      </w:rPr>
                      <w:instrText xml:space="preserve">PAGE  </w:instrText>
                    </w:r>
                    <w:r>
                      <w:rPr>
                        <w:rStyle w:val="11"/>
                        <w:rFonts w:ascii="Times New Roman" w:hAnsi="Times New Roman"/>
                        <w:sz w:val="28"/>
                        <w:szCs w:val="28"/>
                      </w:rPr>
                      <w:fldChar w:fldCharType="separate"/>
                    </w:r>
                    <w:r>
                      <w:rPr>
                        <w:rStyle w:val="11"/>
                        <w:rFonts w:ascii="宋体" w:hAnsi="宋体"/>
                        <w:sz w:val="28"/>
                        <w:szCs w:val="28"/>
                      </w:rPr>
                      <w:t>7</w:t>
                    </w:r>
                    <w:r>
                      <w:rPr>
                        <w:rStyle w:val="11"/>
                        <w:rFonts w:ascii="Times New Roman" w:hAnsi="Times New Roman"/>
                        <w:sz w:val="28"/>
                        <w:szCs w:val="28"/>
                      </w:rPr>
                      <w:fldChar w:fldCharType="end"/>
                    </w:r>
                    <w:r>
                      <w:rPr>
                        <w:rStyle w:val="11"/>
                        <w:rFonts w:hint="eastAsia" w:ascii="Times New Roman" w:hAnsi="Times New Roman"/>
                        <w:sz w:val="28"/>
                        <w:szCs w:val="28"/>
                        <w:lang w:val="en-US" w:eastAsia="zh-CN"/>
                      </w:rPr>
                      <w:t xml:space="preserve"> </w:t>
                    </w:r>
                    <w:r>
                      <w:rPr>
                        <w:rStyle w:val="11"/>
                        <w:rFonts w:hint="eastAsia" w:ascii="Times New Roman" w:hAnsi="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Fonts w:ascii="Times New Roman" w:hAnsi="Times New Roman"/>
      </w:rPr>
    </w:pPr>
    <w:r>
      <w:rPr>
        <w:rStyle w:val="11"/>
        <w:rFonts w:ascii="Times New Roman" w:hAnsi="Times New Roman"/>
      </w:rPr>
      <w:fldChar w:fldCharType="begin"/>
    </w:r>
    <w:r>
      <w:rPr>
        <w:rStyle w:val="11"/>
      </w:rPr>
      <w:instrText xml:space="preserve">PAGE  </w:instrText>
    </w:r>
    <w:r>
      <w:rPr>
        <w:rStyle w:val="11"/>
        <w:rFonts w:ascii="Times New Roman" w:hAnsi="Times New Roman"/>
      </w:rPr>
      <w:fldChar w:fldCharType="end"/>
    </w:r>
  </w:p>
  <w:p>
    <w:pPr>
      <w:pStyle w:val="4"/>
      <w:ind w:right="360" w:firstLine="36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6A6DD3"/>
    <w:multiLevelType w:val="singleLevel"/>
    <w:tmpl w:val="546A6DD3"/>
    <w:lvl w:ilvl="0" w:tentative="0">
      <w:start w:val="2"/>
      <w:numFmt w:val="chineseCounting"/>
      <w:suff w:val="nothing"/>
      <w:lvlText w:val="（%1）"/>
      <w:lvlJc w:val="left"/>
      <w:rPr>
        <w:rFonts w:hint="eastAsia"/>
      </w:rPr>
    </w:lvl>
  </w:abstractNum>
  <w:abstractNum w:abstractNumId="1">
    <w:nsid w:val="76B52AA4"/>
    <w:multiLevelType w:val="singleLevel"/>
    <w:tmpl w:val="76B52AA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jOGI1ZWZhOWIyNzE4ZTJlNjI3NTk5YmM3NDBlYWIifQ=="/>
  </w:docVars>
  <w:rsids>
    <w:rsidRoot w:val="685918A3"/>
    <w:rsid w:val="00E13FAE"/>
    <w:rsid w:val="0B507EF9"/>
    <w:rsid w:val="0EA20E20"/>
    <w:rsid w:val="10B40EC5"/>
    <w:rsid w:val="15193380"/>
    <w:rsid w:val="16A17686"/>
    <w:rsid w:val="23A54A11"/>
    <w:rsid w:val="28311B45"/>
    <w:rsid w:val="28C04238"/>
    <w:rsid w:val="38153A39"/>
    <w:rsid w:val="38CE19F2"/>
    <w:rsid w:val="3AAA7C5C"/>
    <w:rsid w:val="406E3A85"/>
    <w:rsid w:val="440B1182"/>
    <w:rsid w:val="47377E38"/>
    <w:rsid w:val="48D74405"/>
    <w:rsid w:val="48D928CF"/>
    <w:rsid w:val="493D4760"/>
    <w:rsid w:val="4DFE5824"/>
    <w:rsid w:val="4E0A379C"/>
    <w:rsid w:val="504601DC"/>
    <w:rsid w:val="506C54B3"/>
    <w:rsid w:val="54AC582E"/>
    <w:rsid w:val="54F07385"/>
    <w:rsid w:val="54F82A3E"/>
    <w:rsid w:val="599D13B3"/>
    <w:rsid w:val="5B357E5D"/>
    <w:rsid w:val="5C3E09D5"/>
    <w:rsid w:val="5CD27AFD"/>
    <w:rsid w:val="5D43630E"/>
    <w:rsid w:val="685918A3"/>
    <w:rsid w:val="691732E3"/>
    <w:rsid w:val="6CA602EE"/>
    <w:rsid w:val="6CC7182C"/>
    <w:rsid w:val="707F013F"/>
    <w:rsid w:val="70DC717C"/>
    <w:rsid w:val="721D7234"/>
    <w:rsid w:val="73136301"/>
    <w:rsid w:val="73231868"/>
    <w:rsid w:val="74FD2BF5"/>
    <w:rsid w:val="794D439D"/>
    <w:rsid w:val="79977BE1"/>
    <w:rsid w:val="7D935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val="0"/>
      <w:suppressLineNumbers w:val="0"/>
      <w:spacing w:before="0" w:beforeAutospacing="0" w:after="0" w:afterAutospacing="0" w:line="600" w:lineRule="exact"/>
      <w:ind w:left="0" w:right="0" w:firstLine="0" w:firstLineChars="0"/>
      <w:jc w:val="center"/>
      <w:outlineLvl w:val="0"/>
    </w:pPr>
    <w:rPr>
      <w:rFonts w:ascii="Times New Roman" w:hAnsi="Times New Roman" w:eastAsia="方正小标宋简体" w:cs="Times New Roman"/>
      <w:kern w:val="44"/>
      <w:sz w:val="44"/>
      <w:szCs w:val="44"/>
      <w:lang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Body Text First Indent"/>
    <w:basedOn w:val="3"/>
    <w:qFormat/>
    <w:uiPriority w:val="0"/>
    <w:pPr>
      <w:ind w:firstLine="420" w:firstLineChars="100"/>
    </w:pPr>
  </w:style>
  <w:style w:type="character" w:styleId="10">
    <w:name w:val="Strong"/>
    <w:basedOn w:val="9"/>
    <w:qFormat/>
    <w:uiPriority w:val="22"/>
    <w:rPr>
      <w:b/>
      <w:bCs/>
    </w:rPr>
  </w:style>
  <w:style w:type="character" w:styleId="11">
    <w:name w:val="page number"/>
    <w:basedOn w:val="9"/>
    <w:qFormat/>
    <w:uiPriority w:val="0"/>
  </w:style>
  <w:style w:type="character" w:customStyle="1" w:styleId="12">
    <w:name w:val="font71"/>
    <w:basedOn w:val="9"/>
    <w:qFormat/>
    <w:uiPriority w:val="0"/>
    <w:rPr>
      <w:rFonts w:hint="default" w:ascii="Times New Roman" w:hAnsi="Times New Roman" w:cs="Times New Roman"/>
      <w:color w:val="000000"/>
      <w:sz w:val="20"/>
      <w:szCs w:val="20"/>
      <w:u w:val="none"/>
    </w:rPr>
  </w:style>
  <w:style w:type="character" w:customStyle="1" w:styleId="13">
    <w:name w:val="font13"/>
    <w:basedOn w:val="9"/>
    <w:qFormat/>
    <w:uiPriority w:val="0"/>
    <w:rPr>
      <w:rFonts w:ascii="黑体" w:hAnsi="宋体" w:eastAsia="黑体" w:cs="黑体"/>
      <w:color w:val="000000"/>
      <w:sz w:val="20"/>
      <w:szCs w:val="20"/>
      <w:u w:val="none"/>
    </w:rPr>
  </w:style>
  <w:style w:type="character" w:customStyle="1" w:styleId="14">
    <w:name w:val="font151"/>
    <w:basedOn w:val="9"/>
    <w:qFormat/>
    <w:uiPriority w:val="0"/>
    <w:rPr>
      <w:rFonts w:hint="eastAsia" w:ascii="宋体" w:hAnsi="宋体" w:eastAsia="宋体" w:cs="宋体"/>
      <w:color w:val="000000"/>
      <w:sz w:val="20"/>
      <w:szCs w:val="20"/>
      <w:u w:val="none"/>
    </w:rPr>
  </w:style>
  <w:style w:type="character" w:customStyle="1" w:styleId="15">
    <w:name w:val="font31"/>
    <w:basedOn w:val="9"/>
    <w:qFormat/>
    <w:uiPriority w:val="0"/>
    <w:rPr>
      <w:rFonts w:hint="default" w:ascii="Times New Roman" w:hAnsi="Times New Roman" w:cs="Times New Roman"/>
      <w:b/>
      <w:color w:val="000000"/>
      <w:sz w:val="20"/>
      <w:szCs w:val="20"/>
      <w:u w:val="none"/>
    </w:rPr>
  </w:style>
  <w:style w:type="character" w:customStyle="1" w:styleId="16">
    <w:name w:val="font01"/>
    <w:basedOn w:val="9"/>
    <w:qFormat/>
    <w:uiPriority w:val="0"/>
    <w:rPr>
      <w:rFonts w:hint="eastAsia" w:ascii="宋体" w:hAnsi="宋体" w:eastAsia="宋体" w:cs="宋体"/>
      <w:b/>
      <w:color w:val="000000"/>
      <w:sz w:val="20"/>
      <w:szCs w:val="20"/>
      <w:u w:val="none"/>
    </w:rPr>
  </w:style>
  <w:style w:type="character" w:customStyle="1" w:styleId="17">
    <w:name w:val="font61"/>
    <w:basedOn w:val="9"/>
    <w:qFormat/>
    <w:uiPriority w:val="0"/>
    <w:rPr>
      <w:rFonts w:hint="default" w:ascii="Times New Roman" w:hAnsi="Times New Roman" w:cs="Times New Roman"/>
      <w:color w:val="000000"/>
      <w:sz w:val="20"/>
      <w:szCs w:val="20"/>
      <w:u w:val="none"/>
    </w:rPr>
  </w:style>
  <w:style w:type="character" w:customStyle="1" w:styleId="18">
    <w:name w:val="font81"/>
    <w:basedOn w:val="9"/>
    <w:qFormat/>
    <w:uiPriority w:val="0"/>
    <w:rPr>
      <w:rFonts w:hint="eastAsia" w:ascii="宋体" w:hAnsi="宋体" w:eastAsia="宋体" w:cs="宋体"/>
      <w:color w:val="000000"/>
      <w:sz w:val="20"/>
      <w:szCs w:val="20"/>
      <w:u w:val="none"/>
    </w:rPr>
  </w:style>
  <w:style w:type="character" w:customStyle="1" w:styleId="19">
    <w:name w:val="font121"/>
    <w:basedOn w:val="9"/>
    <w:uiPriority w:val="0"/>
    <w:rPr>
      <w:rFonts w:hint="eastAsia" w:ascii="黑体" w:hAnsi="宋体" w:eastAsia="黑体" w:cs="黑体"/>
      <w:color w:val="000000"/>
      <w:sz w:val="20"/>
      <w:szCs w:val="20"/>
      <w:u w:val="none"/>
    </w:rPr>
  </w:style>
  <w:style w:type="character" w:customStyle="1" w:styleId="20">
    <w:name w:val="font131"/>
    <w:basedOn w:val="9"/>
    <w:uiPriority w:val="0"/>
    <w:rPr>
      <w:rFonts w:hint="eastAsia" w:ascii="宋体" w:hAnsi="宋体" w:eastAsia="宋体" w:cs="宋体"/>
      <w:b/>
      <w:bCs/>
      <w:color w:val="000000"/>
      <w:sz w:val="20"/>
      <w:szCs w:val="20"/>
      <w:u w:val="none"/>
    </w:rPr>
  </w:style>
  <w:style w:type="character" w:customStyle="1" w:styleId="21">
    <w:name w:val="font141"/>
    <w:basedOn w:val="9"/>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3040</Words>
  <Characters>3355</Characters>
  <Lines>0</Lines>
  <Paragraphs>0</Paragraphs>
  <TotalTime>14</TotalTime>
  <ScaleCrop>false</ScaleCrop>
  <LinksUpToDate>false</LinksUpToDate>
  <CharactersWithSpaces>3355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2020-04-14T06:18:00Z</dcterms:created>
  <dc:creator>Administrator</dc:creator>
  <cp:lastModifiedBy>只，为你变乖！！</cp:lastModifiedBy>
  <cp:lastPrinted>2022-03-22T08:05:00Z</cp:lastPrinted>
  <dcterms:modified xsi:type="dcterms:W3CDTF">2022-07-15T03:59:41Z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KSOSaveFontToCloudKey">
    <vt:lpwstr>419502913_btnclosed</vt:lpwstr>
  </property>
  <property fmtid="{D5CDD505-2E9C-101B-9397-08002B2CF9AE}" pid="4" name="ICV">
    <vt:lpwstr>9FCC05110B8F422BB31DE288F9356AE5</vt:lpwstr>
  </property>
</Properties>
</file>